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18F" w:rsidRPr="0063618F" w:rsidRDefault="0063618F" w:rsidP="0063618F">
      <w:pPr>
        <w:pStyle w:val="Title"/>
        <w:rPr>
          <w:color w:val="003366"/>
          <w:sz w:val="24"/>
          <w:szCs w:val="24"/>
        </w:rPr>
      </w:pPr>
      <w:r w:rsidRPr="0063618F">
        <w:rPr>
          <w:color w:val="003366"/>
          <w:sz w:val="24"/>
          <w:szCs w:val="24"/>
        </w:rPr>
        <w:t>UNIVERSITY OF ROCHESTER MEDICAL CENTER</w:t>
      </w:r>
    </w:p>
    <w:p w:rsidR="0063618F" w:rsidRPr="0063618F" w:rsidRDefault="0063618F" w:rsidP="0063618F">
      <w:pPr>
        <w:jc w:val="center"/>
        <w:rPr>
          <w:rFonts w:ascii="Times New Roman" w:hAnsi="Times New Roman" w:cs="Times New Roman"/>
          <w:b/>
          <w:color w:val="003366"/>
          <w:sz w:val="24"/>
          <w:szCs w:val="24"/>
        </w:rPr>
      </w:pPr>
      <w:r w:rsidRPr="0063618F">
        <w:rPr>
          <w:rFonts w:ascii="Times New Roman" w:hAnsi="Times New Roman" w:cs="Times New Roman"/>
          <w:b/>
          <w:color w:val="003366"/>
          <w:sz w:val="24"/>
          <w:szCs w:val="24"/>
        </w:rPr>
        <w:t>OPERATING BUDGET PROCESS</w:t>
      </w:r>
    </w:p>
    <w:p w:rsidR="0063618F" w:rsidRPr="0063618F" w:rsidRDefault="0063618F" w:rsidP="0063618F">
      <w:pPr>
        <w:jc w:val="center"/>
        <w:rPr>
          <w:rFonts w:ascii="Times New Roman" w:hAnsi="Times New Roman" w:cs="Times New Roman"/>
          <w:b/>
          <w:color w:val="003366"/>
          <w:sz w:val="24"/>
          <w:szCs w:val="24"/>
        </w:rPr>
      </w:pPr>
      <w:r w:rsidRPr="0063618F">
        <w:rPr>
          <w:rFonts w:ascii="Times New Roman" w:hAnsi="Times New Roman" w:cs="Times New Roman"/>
          <w:b/>
          <w:color w:val="003366"/>
          <w:sz w:val="24"/>
          <w:szCs w:val="24"/>
        </w:rPr>
        <w:t>PROVIDER MODEL</w:t>
      </w:r>
    </w:p>
    <w:tbl>
      <w:tblPr>
        <w:tblW w:w="0" w:type="auto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63618F" w:rsidRPr="0063618F" w:rsidTr="004A55C2">
        <w:trPr>
          <w:trHeight w:val="342"/>
        </w:trPr>
        <w:tc>
          <w:tcPr>
            <w:tcW w:w="100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3618F" w:rsidRPr="0063618F" w:rsidRDefault="0063618F" w:rsidP="004A55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63618F">
              <w:rPr>
                <w:rFonts w:ascii="Times New Roman" w:hAnsi="Times New Roman" w:cs="Times New Roman"/>
                <w:b/>
                <w:sz w:val="24"/>
                <w:szCs w:val="24"/>
              </w:rPr>
              <w:t>FISCAL YEAR 2020/2021</w:t>
            </w:r>
          </w:p>
        </w:tc>
      </w:tr>
    </w:tbl>
    <w:p w:rsidR="00814C1B" w:rsidRPr="004A55C2" w:rsidRDefault="00E35960" w:rsidP="004A55C2">
      <w:pPr>
        <w:spacing w:after="0"/>
        <w:rPr>
          <w:b/>
          <w:i/>
          <w:sz w:val="28"/>
          <w:szCs w:val="28"/>
          <w:u w:val="single"/>
        </w:rPr>
      </w:pPr>
      <w:bookmarkStart w:id="0" w:name="_GoBack"/>
      <w:bookmarkEnd w:id="0"/>
      <w:r w:rsidRPr="004A55C2">
        <w:rPr>
          <w:b/>
          <w:i/>
          <w:sz w:val="28"/>
          <w:szCs w:val="28"/>
          <w:u w:val="single"/>
        </w:rPr>
        <w:t>Provider Maintenance</w:t>
      </w:r>
    </w:p>
    <w:p w:rsidR="00814C1B" w:rsidRDefault="00814C1B" w:rsidP="00814C1B">
      <w:pPr>
        <w:pStyle w:val="ListParagraph"/>
        <w:numPr>
          <w:ilvl w:val="0"/>
          <w:numId w:val="1"/>
        </w:numPr>
      </w:pPr>
      <w:r>
        <w:t xml:space="preserve"> Accessing Provider Maintenance –click on the Axiom 2021 budget tab in the upper left hand corner and scroll down to Provider Maintenance Folder.</w:t>
      </w:r>
    </w:p>
    <w:p w:rsidR="00814C1B" w:rsidRDefault="0063618F">
      <w:r w:rsidRPr="00E35960">
        <w:rPr>
          <w:noProof/>
          <w:bdr w:val="single" w:sz="4" w:space="0" w:color="auto"/>
        </w:rPr>
        <w:drawing>
          <wp:inline distT="0" distB="0" distL="0" distR="0" wp14:anchorId="5391ECB8" wp14:editId="203336FF">
            <wp:extent cx="6858000" cy="39820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98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43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259080</wp:posOffset>
                </wp:positionV>
                <wp:extent cx="601267" cy="289863"/>
                <wp:effectExtent l="60325" t="15875" r="88265" b="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48872">
                          <a:off x="0" y="0"/>
                          <a:ext cx="601267" cy="28986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FB96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4.25pt;margin-top:20.4pt;width:47.35pt;height:22.8pt;rotation:791770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KzsgAIAAE4FAAAOAAAAZHJzL2Uyb0RvYy54bWysVMFu2zAMvQ/YPwi6r3a8NEmDOkXQosOA&#10;oivaDj2rshQbkEWNUuJkXz9KdtyiLXYY5oNAiuQj+Uzq/GLfGrZT6BuwJZ+c5JwpK6Fq7KbkPx+v&#10;vyw480HYShiwquQH5fnF6vOn884tVQE1mEohIxDrl50reR2CW2aZl7VqhT8BpywZNWArAqm4ySoU&#10;HaG3JivyfJZ1gJVDkMp7ur3qjXyV8LVWMvzQ2qvATMmptpBOTOdzPLPVuVhuULi6kUMZ4h+qaEVj&#10;KekIdSWCYFts3kG1jUTwoMOJhDYDrRupUg/UzSR/081DLZxKvRA53o00+f8HK293d8iaquQFZ1a0&#10;9Ivum00d2BoROlZEgjrnl+T34O5w0DyJsdu9xpYhEKvzYrpYzIvEAXXF9oniw0ix2gcm6XKWT4rZ&#10;nDNJpmJxtph9jRmyHipCOvThm4KWRaHkGItJtSRosbvxoQ84OlJ0LLAvKUnhYFSEMvZeaeqN0vaF&#10;palSlwbZTtA8CCmVDZME7GtRqf76NKdvqGqMSDUmwIisG2NG7AEgTux77L7WwT+GqjSUY3DeZ/9b&#10;8BiRMoMNY3DbWMCPAAx1NWTu/Y8k9dRElp6hOtCfTz+PFsM7ed0Q4zfChzuBtAN0SXsdftChDXQl&#10;h0HirAb8/dF99KfRJCtnHe1Uyf2vrUDFmfluaWjPJtNpXMKkTE/nBSn42vL82mK37SXQb5qk6pIY&#10;/YM5ihqhfaL1X8esZBJWUu6Sy4BH5TL0u04PiFTrdXKjxXMi3NgHJyN4ZDXO0uP+SaAbxi7QvN7C&#10;cf/E8s3c9b4x0sJ6G0A3aShfeB34pqVNgzM8MPFVeK0nr5dncPUHAAD//wMAUEsDBBQABgAIAAAA&#10;IQD2MX9s3QAAAAgBAAAPAAAAZHJzL2Rvd25yZXYueG1sTI/BbsIwEETvlfgHa5G4oOIEVAhpHISo&#10;oh56Kq3E1cRLEjVeR7ED4e+7PZXj7Ixm32S70bbiir1vHCmIFxEIpNKZhioF31/FcwLCB01Gt45Q&#10;wR097PLJU6ZT4270iddjqASXkE+1gjqELpXSlzVa7ReuQ2Lv4nqrA8u+kqbXNy63rVxG0Vpa3RB/&#10;qHWHhxrLn+NgFbzti3j+UuJpHqzE+0cyXIp3VGo2HfevIAKO4T8Mf/iMDjkznd1AxotWwWoVc5Lv&#10;6yUI9jfJBsSZdRxtQeaZfByQ/wIAAP//AwBQSwECLQAUAAYACAAAACEAtoM4kv4AAADhAQAAEwAA&#10;AAAAAAAAAAAAAAAAAAAAW0NvbnRlbnRfVHlwZXNdLnhtbFBLAQItABQABgAIAAAAIQA4/SH/1gAA&#10;AJQBAAALAAAAAAAAAAAAAAAAAC8BAABfcmVscy8ucmVsc1BLAQItABQABgAIAAAAIQDxNKzsgAIA&#10;AE4FAAAOAAAAAAAAAAAAAAAAAC4CAABkcnMvZTJvRG9jLnhtbFBLAQItABQABgAIAAAAIQD2MX9s&#10;3QAAAAgBAAAPAAAAAAAAAAAAAAAAANoEAABkcnMvZG93bnJldi54bWxQSwUGAAAAAAQABADzAAAA&#10;5AUAAAAA&#10;" adj="16393" fillcolor="#5b9bd5 [3204]" strokecolor="#1f4d78 [1604]" strokeweight="1pt"/>
            </w:pict>
          </mc:Fallback>
        </mc:AlternateContent>
      </w:r>
    </w:p>
    <w:p w:rsidR="003304F4" w:rsidRDefault="003304F4" w:rsidP="00E66DBE">
      <w:pPr>
        <w:pStyle w:val="ListParagraph"/>
        <w:numPr>
          <w:ilvl w:val="0"/>
          <w:numId w:val="1"/>
        </w:numPr>
      </w:pPr>
      <w:r>
        <w:t>Double click on Provider Maintenance and a menu for Cost Center Hierarchy will pop up.</w:t>
      </w:r>
    </w:p>
    <w:p w:rsidR="00E66DBE" w:rsidRDefault="00814C1B" w:rsidP="00E66DBE">
      <w:pPr>
        <w:pStyle w:val="ListParagraph"/>
        <w:numPr>
          <w:ilvl w:val="0"/>
          <w:numId w:val="1"/>
        </w:numPr>
      </w:pPr>
      <w:r>
        <w:t xml:space="preserve">Choose a Cost Center </w:t>
      </w:r>
      <w:r w:rsidR="003304F4">
        <w:t xml:space="preserve">Hierarchy </w:t>
      </w:r>
      <w:r>
        <w:t xml:space="preserve">(there </w:t>
      </w:r>
      <w:r w:rsidR="00E66DBE">
        <w:t>may only be one to choose from).</w:t>
      </w:r>
    </w:p>
    <w:p w:rsidR="00E66DBE" w:rsidRDefault="00E66DBE" w:rsidP="00E66DBE">
      <w:pPr>
        <w:pStyle w:val="ListParagraph"/>
        <w:numPr>
          <w:ilvl w:val="0"/>
          <w:numId w:val="1"/>
        </w:numPr>
      </w:pPr>
      <w:r>
        <w:t>The first tab is New Providers.  If there are any new providers since we last mapped to URID’s, please map them here.</w:t>
      </w:r>
      <w:r w:rsidR="008F732A">
        <w:t xml:space="preserve">  To map, click on yellow box, and choose Provider Name)</w:t>
      </w:r>
    </w:p>
    <w:p w:rsidR="00E66DBE" w:rsidRDefault="00E66DBE" w:rsidP="00E66DBE">
      <w:pPr>
        <w:pStyle w:val="ListParagraph"/>
        <w:numPr>
          <w:ilvl w:val="0"/>
          <w:numId w:val="1"/>
        </w:numPr>
      </w:pPr>
      <w:r>
        <w:t xml:space="preserve">The second tab is Current Providers.  </w:t>
      </w:r>
      <w:r w:rsidR="00C301AE">
        <w:t xml:space="preserve">By utilizing the change view in the tool bar, select the </w:t>
      </w:r>
      <w:r>
        <w:t>Provider Group Assignments.  Please review the Provider groups and change/add as appropriate for each provider.</w:t>
      </w:r>
    </w:p>
    <w:p w:rsidR="003304F4" w:rsidRDefault="00E66DBE" w:rsidP="00E66DBE">
      <w:pPr>
        <w:pStyle w:val="ListParagraph"/>
        <w:numPr>
          <w:ilvl w:val="0"/>
          <w:numId w:val="1"/>
        </w:numPr>
      </w:pPr>
      <w:r>
        <w:t>The secon</w:t>
      </w:r>
      <w:r w:rsidR="003304F4">
        <w:t xml:space="preserve">d view is Benchmarks.  </w:t>
      </w:r>
    </w:p>
    <w:p w:rsidR="003304F4" w:rsidRDefault="003304F4" w:rsidP="003304F4">
      <w:pPr>
        <w:pStyle w:val="ListParagraph"/>
        <w:numPr>
          <w:ilvl w:val="1"/>
          <w:numId w:val="1"/>
        </w:numPr>
      </w:pPr>
      <w:r>
        <w:t>Please review and correct, if necessary, the</w:t>
      </w:r>
      <w:r w:rsidR="00E66DBE">
        <w:t xml:space="preserve"> MGMA </w:t>
      </w:r>
      <w:r>
        <w:t>Specialty designation for compensation and productivity. You can make changes by double clicking on the yellow box with three dots and choosing from the drop down menu.</w:t>
      </w:r>
    </w:p>
    <w:p w:rsidR="00E66DBE" w:rsidRDefault="003304F4" w:rsidP="003304F4">
      <w:pPr>
        <w:pStyle w:val="ListParagraph"/>
        <w:numPr>
          <w:ilvl w:val="1"/>
          <w:numId w:val="1"/>
        </w:numPr>
      </w:pPr>
      <w:r>
        <w:t>Next, review and correct, if necessary, the A</w:t>
      </w:r>
      <w:r w:rsidR="00E66DBE">
        <w:t xml:space="preserve">lternate </w:t>
      </w:r>
      <w:r>
        <w:t>B</w:t>
      </w:r>
      <w:r w:rsidR="00E66DBE">
        <w:t>enchmark</w:t>
      </w:r>
      <w:r>
        <w:t xml:space="preserve"> table for productivity and compensation for each non-APP provider</w:t>
      </w:r>
      <w:r w:rsidR="00C301AE">
        <w:t>s</w:t>
      </w:r>
      <w:r w:rsidR="00E66DBE">
        <w:t xml:space="preserve">.  </w:t>
      </w:r>
      <w:r>
        <w:t xml:space="preserve"> This should represent the benchmark table you use in your tool kit.</w:t>
      </w:r>
      <w:r w:rsidR="00C301AE">
        <w:t xml:space="preserve">  </w:t>
      </w:r>
    </w:p>
    <w:p w:rsidR="00C301AE" w:rsidRDefault="00C301AE" w:rsidP="003304F4">
      <w:pPr>
        <w:pStyle w:val="ListParagraph"/>
        <w:numPr>
          <w:ilvl w:val="1"/>
          <w:numId w:val="1"/>
        </w:numPr>
      </w:pPr>
      <w:r>
        <w:t xml:space="preserve">The last step is to assign, by using the drop down, the Alternate Specialty designation specific to your Alternate Benchmark Survey.  </w:t>
      </w:r>
    </w:p>
    <w:p w:rsidR="00E66DBE" w:rsidRDefault="00C301AE" w:rsidP="00E66DBE">
      <w:pPr>
        <w:pStyle w:val="ListParagraph"/>
        <w:numPr>
          <w:ilvl w:val="0"/>
          <w:numId w:val="1"/>
        </w:numPr>
      </w:pPr>
      <w:r>
        <w:t>The third tab is the Provider Tool</w:t>
      </w:r>
      <w:r w:rsidR="00B75C97">
        <w:t xml:space="preserve"> </w:t>
      </w:r>
      <w:r>
        <w:t>Kit.  This is currently in construction, but will be live shortly.  Upon go live for this functionality, instructions will follow.</w:t>
      </w:r>
    </w:p>
    <w:sectPr w:rsidR="00E66DBE" w:rsidSect="0063618F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70442"/>
    <w:multiLevelType w:val="hybridMultilevel"/>
    <w:tmpl w:val="95265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26"/>
    <w:rsid w:val="001128EB"/>
    <w:rsid w:val="003304F4"/>
    <w:rsid w:val="004A55C2"/>
    <w:rsid w:val="0063618F"/>
    <w:rsid w:val="0064054A"/>
    <w:rsid w:val="00640D1A"/>
    <w:rsid w:val="007D2826"/>
    <w:rsid w:val="00814C1B"/>
    <w:rsid w:val="008F732A"/>
    <w:rsid w:val="00A443B3"/>
    <w:rsid w:val="00B75C97"/>
    <w:rsid w:val="00C301AE"/>
    <w:rsid w:val="00E33D45"/>
    <w:rsid w:val="00E35960"/>
    <w:rsid w:val="00E66DBE"/>
    <w:rsid w:val="00ED3488"/>
    <w:rsid w:val="00F27B13"/>
    <w:rsid w:val="00FD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1B047"/>
  <w15:chartTrackingRefBased/>
  <w15:docId w15:val="{D5F759F9-5802-4329-B33D-F21AF59A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8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4C1B"/>
    <w:pPr>
      <w:ind w:left="720"/>
      <w:contextualSpacing/>
    </w:pPr>
  </w:style>
  <w:style w:type="paragraph" w:styleId="Title">
    <w:name w:val="Title"/>
    <w:basedOn w:val="Normal"/>
    <w:link w:val="TitleChar"/>
    <w:qFormat/>
    <w:rsid w:val="0063618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3618F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86C9E-48EF-4CCA-A5BF-A3EDEF334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Clarke, Lisa (URMFG)</dc:creator>
  <cp:keywords/>
  <dc:description/>
  <cp:lastModifiedBy>Hetterich, Jill</cp:lastModifiedBy>
  <cp:revision>2</cp:revision>
  <cp:lastPrinted>2019-12-17T16:28:00Z</cp:lastPrinted>
  <dcterms:created xsi:type="dcterms:W3CDTF">2019-12-17T16:29:00Z</dcterms:created>
  <dcterms:modified xsi:type="dcterms:W3CDTF">2019-12-17T16:29:00Z</dcterms:modified>
</cp:coreProperties>
</file>