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A8A3E" w14:textId="77777777" w:rsidR="0037117F" w:rsidRPr="0037117F" w:rsidRDefault="0037117F" w:rsidP="0037117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3366"/>
          <w:sz w:val="24"/>
          <w:szCs w:val="24"/>
        </w:rPr>
      </w:pPr>
      <w:r w:rsidRPr="0037117F">
        <w:rPr>
          <w:rFonts w:ascii="Times New Roman" w:eastAsia="Times New Roman" w:hAnsi="Times New Roman" w:cs="Times New Roman"/>
          <w:b/>
          <w:color w:val="003366"/>
          <w:sz w:val="24"/>
          <w:szCs w:val="24"/>
        </w:rPr>
        <w:t>UNIVERSITY OF ROCHESTER MEDICAL CENTER</w:t>
      </w:r>
    </w:p>
    <w:p w14:paraId="52D63C3F" w14:textId="77777777" w:rsidR="0037117F" w:rsidRPr="0037117F" w:rsidRDefault="0037117F" w:rsidP="0037117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3366"/>
          <w:sz w:val="24"/>
          <w:szCs w:val="24"/>
        </w:rPr>
      </w:pPr>
      <w:r w:rsidRPr="0037117F">
        <w:rPr>
          <w:rFonts w:ascii="Times New Roman" w:eastAsia="Times New Roman" w:hAnsi="Times New Roman" w:cs="Times New Roman"/>
          <w:b/>
          <w:color w:val="003366"/>
          <w:sz w:val="24"/>
          <w:szCs w:val="24"/>
        </w:rPr>
        <w:t>OPERATING BUDGET PROCESS</w:t>
      </w:r>
    </w:p>
    <w:p w14:paraId="7FD220EA" w14:textId="77777777" w:rsidR="0037117F" w:rsidRPr="0037117F" w:rsidRDefault="0037117F" w:rsidP="0037117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3366"/>
          <w:sz w:val="24"/>
          <w:szCs w:val="24"/>
        </w:rPr>
      </w:pPr>
      <w:r w:rsidRPr="0037117F">
        <w:rPr>
          <w:rFonts w:ascii="Times New Roman" w:eastAsia="Times New Roman" w:hAnsi="Times New Roman" w:cs="Times New Roman"/>
          <w:b/>
          <w:color w:val="003366"/>
          <w:sz w:val="24"/>
          <w:szCs w:val="24"/>
        </w:rPr>
        <w:t>PROVIDER MODEL INSTRUCTIONS</w:t>
      </w:r>
    </w:p>
    <w:p w14:paraId="3B459DA8" w14:textId="77777777" w:rsidR="0037117F" w:rsidRPr="0037117F" w:rsidRDefault="0037117F" w:rsidP="0037117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3366"/>
          <w:sz w:val="24"/>
          <w:szCs w:val="24"/>
        </w:rPr>
      </w:pPr>
    </w:p>
    <w:p w14:paraId="78BDF831" w14:textId="52FFEA64" w:rsidR="0037117F" w:rsidRPr="0037117F" w:rsidRDefault="0037117F" w:rsidP="0037117F">
      <w:pPr>
        <w:pBdr>
          <w:bottom w:val="single" w:sz="4" w:space="1" w:color="auto"/>
        </w:pBdr>
        <w:tabs>
          <w:tab w:val="left" w:pos="3924"/>
          <w:tab w:val="center" w:pos="540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3366"/>
          <w:sz w:val="24"/>
          <w:szCs w:val="24"/>
        </w:rPr>
      </w:pPr>
      <w:r w:rsidRPr="0037117F">
        <w:rPr>
          <w:rFonts w:ascii="Times New Roman" w:eastAsia="Times New Roman" w:hAnsi="Times New Roman" w:cs="Times New Roman"/>
          <w:b/>
          <w:sz w:val="24"/>
          <w:szCs w:val="24"/>
        </w:rPr>
        <w:t>FISCAL YEAR 202</w:t>
      </w:r>
      <w:r w:rsidR="00B727F2">
        <w:rPr>
          <w:rFonts w:ascii="Times New Roman" w:eastAsia="Times New Roman" w:hAnsi="Times New Roman" w:cs="Times New Roman"/>
          <w:b/>
          <w:sz w:val="24"/>
          <w:szCs w:val="24"/>
        </w:rPr>
        <w:t>5</w:t>
      </w:r>
      <w:r w:rsidRPr="0037117F">
        <w:rPr>
          <w:rFonts w:ascii="Times New Roman" w:eastAsia="Times New Roman" w:hAnsi="Times New Roman" w:cs="Times New Roman"/>
          <w:b/>
          <w:sz w:val="24"/>
          <w:szCs w:val="24"/>
        </w:rPr>
        <w:t>/202</w:t>
      </w:r>
      <w:r w:rsidR="00B727F2">
        <w:rPr>
          <w:rFonts w:ascii="Times New Roman" w:eastAsia="Times New Roman" w:hAnsi="Times New Roman" w:cs="Times New Roman"/>
          <w:b/>
          <w:sz w:val="24"/>
          <w:szCs w:val="24"/>
        </w:rPr>
        <w:t>6</w:t>
      </w:r>
    </w:p>
    <w:p w14:paraId="2AE7588D" w14:textId="77777777" w:rsidR="00AC7E1B" w:rsidRPr="0037117F" w:rsidRDefault="00AC7E1B" w:rsidP="0037117F">
      <w:pPr>
        <w:overflowPunct w:val="0"/>
        <w:autoSpaceDE w:val="0"/>
        <w:autoSpaceDN w:val="0"/>
        <w:adjustRightInd w:val="0"/>
        <w:spacing w:after="0" w:line="240" w:lineRule="auto"/>
        <w:textAlignment w:val="baseline"/>
        <w:rPr>
          <w:rFonts w:eastAsia="Times New Roman" w:cstheme="minorHAnsi"/>
          <w:i/>
          <w:sz w:val="24"/>
          <w:szCs w:val="24"/>
        </w:rPr>
      </w:pPr>
    </w:p>
    <w:p w14:paraId="083CF0AB" w14:textId="74547F3F" w:rsidR="0037117F" w:rsidRPr="0037117F" w:rsidRDefault="0037117F" w:rsidP="0037117F">
      <w:pPr>
        <w:overflowPunct w:val="0"/>
        <w:autoSpaceDE w:val="0"/>
        <w:autoSpaceDN w:val="0"/>
        <w:adjustRightInd w:val="0"/>
        <w:spacing w:after="0" w:line="240" w:lineRule="auto"/>
        <w:textAlignment w:val="baseline"/>
        <w:rPr>
          <w:rFonts w:eastAsia="Times New Roman" w:cstheme="minorHAnsi"/>
          <w:i/>
          <w:sz w:val="24"/>
          <w:szCs w:val="24"/>
        </w:rPr>
      </w:pPr>
      <w:r w:rsidRPr="0037117F">
        <w:rPr>
          <w:rFonts w:eastAsia="Times New Roman" w:cstheme="minorHAnsi"/>
          <w:i/>
          <w:sz w:val="24"/>
          <w:szCs w:val="24"/>
        </w:rPr>
        <w:t xml:space="preserve">Now that you have completed </w:t>
      </w:r>
      <w:r w:rsidRPr="0037117F">
        <w:rPr>
          <w:rFonts w:eastAsia="Times New Roman" w:cstheme="minorHAnsi"/>
          <w:b/>
          <w:i/>
          <w:sz w:val="24"/>
          <w:szCs w:val="24"/>
          <w:u w:val="single"/>
        </w:rPr>
        <w:t>Provider Maintenance</w:t>
      </w:r>
      <w:r w:rsidRPr="0037117F">
        <w:rPr>
          <w:rFonts w:eastAsia="Times New Roman" w:cstheme="minorHAnsi"/>
          <w:i/>
          <w:sz w:val="24"/>
          <w:szCs w:val="24"/>
        </w:rPr>
        <w:t xml:space="preserve">, you are ready to begin budgeting in the Provider Model. </w:t>
      </w:r>
    </w:p>
    <w:p w14:paraId="24E982A0" w14:textId="77777777" w:rsidR="0037117F" w:rsidRPr="0037117F" w:rsidRDefault="0037117F" w:rsidP="0037117F">
      <w:pPr>
        <w:overflowPunct w:val="0"/>
        <w:autoSpaceDE w:val="0"/>
        <w:autoSpaceDN w:val="0"/>
        <w:adjustRightInd w:val="0"/>
        <w:spacing w:after="0" w:line="240" w:lineRule="auto"/>
        <w:textAlignment w:val="baseline"/>
        <w:rPr>
          <w:rFonts w:eastAsia="Times New Roman" w:cstheme="minorHAnsi"/>
          <w:b/>
          <w:i/>
          <w:sz w:val="24"/>
          <w:szCs w:val="24"/>
          <w:u w:val="single"/>
        </w:rPr>
      </w:pPr>
    </w:p>
    <w:p w14:paraId="2D44F7F0" w14:textId="77777777" w:rsidR="0037117F" w:rsidRDefault="0037117F" w:rsidP="0037117F">
      <w:pPr>
        <w:overflowPunct w:val="0"/>
        <w:autoSpaceDE w:val="0"/>
        <w:autoSpaceDN w:val="0"/>
        <w:adjustRightInd w:val="0"/>
        <w:spacing w:after="0" w:line="240" w:lineRule="auto"/>
        <w:textAlignment w:val="baseline"/>
        <w:rPr>
          <w:rFonts w:eastAsia="Times New Roman" w:cstheme="minorHAnsi"/>
          <w:b/>
          <w:i/>
          <w:sz w:val="24"/>
          <w:szCs w:val="24"/>
          <w:u w:val="single"/>
        </w:rPr>
      </w:pPr>
      <w:r w:rsidRPr="0037117F">
        <w:rPr>
          <w:rFonts w:eastAsia="Times New Roman" w:cstheme="minorHAnsi"/>
          <w:b/>
          <w:i/>
          <w:sz w:val="24"/>
          <w:szCs w:val="24"/>
          <w:u w:val="single"/>
        </w:rPr>
        <w:t>Provider Model</w:t>
      </w:r>
    </w:p>
    <w:p w14:paraId="49E8746D" w14:textId="77777777" w:rsidR="0037117F" w:rsidRPr="0037117F" w:rsidRDefault="0037117F" w:rsidP="0037117F">
      <w:pPr>
        <w:overflowPunct w:val="0"/>
        <w:autoSpaceDE w:val="0"/>
        <w:autoSpaceDN w:val="0"/>
        <w:adjustRightInd w:val="0"/>
        <w:spacing w:after="0" w:line="240" w:lineRule="auto"/>
        <w:textAlignment w:val="baseline"/>
        <w:rPr>
          <w:rFonts w:eastAsia="Times New Roman" w:cstheme="minorHAnsi"/>
          <w:i/>
          <w:sz w:val="24"/>
          <w:szCs w:val="24"/>
        </w:rPr>
      </w:pPr>
    </w:p>
    <w:p w14:paraId="75C742F3" w14:textId="111D8CAD" w:rsidR="0037117F" w:rsidRPr="0037117F" w:rsidRDefault="0037117F" w:rsidP="0037117F">
      <w:pPr>
        <w:tabs>
          <w:tab w:val="left" w:pos="972"/>
        </w:tabs>
        <w:overflowPunct w:val="0"/>
        <w:autoSpaceDE w:val="0"/>
        <w:autoSpaceDN w:val="0"/>
        <w:adjustRightInd w:val="0"/>
        <w:spacing w:after="0" w:line="240" w:lineRule="auto"/>
        <w:ind w:left="360"/>
        <w:textAlignment w:val="baseline"/>
        <w:rPr>
          <w:rFonts w:eastAsia="Times New Roman" w:cstheme="minorHAnsi"/>
          <w:i/>
          <w:sz w:val="24"/>
          <w:szCs w:val="24"/>
        </w:rPr>
      </w:pPr>
      <w:r w:rsidRPr="0037117F">
        <w:rPr>
          <w:rFonts w:eastAsia="Times New Roman" w:cstheme="minorHAnsi"/>
          <w:i/>
          <w:sz w:val="24"/>
          <w:szCs w:val="24"/>
        </w:rPr>
        <w:t xml:space="preserve">The Provider Model is a Medical Center Wide Projection and Budgeting tool.  No Company (SMH, MFG, SMD, </w:t>
      </w:r>
      <w:r w:rsidR="00313252">
        <w:rPr>
          <w:rFonts w:eastAsia="Times New Roman" w:cstheme="minorHAnsi"/>
          <w:i/>
          <w:sz w:val="24"/>
          <w:szCs w:val="24"/>
        </w:rPr>
        <w:t xml:space="preserve">HH </w:t>
      </w:r>
      <w:r w:rsidRPr="0037117F">
        <w:rPr>
          <w:rFonts w:eastAsia="Times New Roman" w:cstheme="minorHAnsi"/>
          <w:i/>
          <w:sz w:val="24"/>
          <w:szCs w:val="24"/>
        </w:rPr>
        <w:t>or SON) is exempt from this component of the budgeting process.  The goal of the Provider Model tool is to capture Effort, wRVUs, Compensation, Revenue, and Cases by Provider (Physicians, CRNA’s, and APPs).  These components are all accessed via the different views located in the tool bar.  Existing providers will automatically appear in the Provider Model.  For incremental NEW providers, the information is built in a BIP (Business Improvement Plan) and then will be fed into Provider Model once approved.  For replacement providers please complete the Template for Adding Replacement Providers form and submit to your Finance Liaison.  The Liaison will then add the provider to the Provider Model.</w:t>
      </w:r>
    </w:p>
    <w:p w14:paraId="78605DCF" w14:textId="77777777" w:rsidR="0037117F" w:rsidRPr="0037117F" w:rsidRDefault="0037117F" w:rsidP="0037117F">
      <w:pPr>
        <w:tabs>
          <w:tab w:val="left" w:pos="972"/>
        </w:tabs>
        <w:overflowPunct w:val="0"/>
        <w:autoSpaceDE w:val="0"/>
        <w:autoSpaceDN w:val="0"/>
        <w:adjustRightInd w:val="0"/>
        <w:spacing w:after="0" w:line="240" w:lineRule="auto"/>
        <w:ind w:left="360"/>
        <w:textAlignment w:val="baseline"/>
        <w:rPr>
          <w:rFonts w:eastAsia="Times New Roman" w:cstheme="minorHAnsi"/>
          <w:i/>
          <w:sz w:val="24"/>
          <w:szCs w:val="24"/>
        </w:rPr>
      </w:pPr>
    </w:p>
    <w:p w14:paraId="23FBC004" w14:textId="77777777" w:rsidR="0037117F" w:rsidRDefault="0037117F" w:rsidP="0037117F">
      <w:pPr>
        <w:tabs>
          <w:tab w:val="left" w:pos="972"/>
        </w:tabs>
        <w:overflowPunct w:val="0"/>
        <w:autoSpaceDE w:val="0"/>
        <w:autoSpaceDN w:val="0"/>
        <w:adjustRightInd w:val="0"/>
        <w:spacing w:after="0" w:line="240" w:lineRule="auto"/>
        <w:ind w:left="360"/>
        <w:textAlignment w:val="baseline"/>
        <w:rPr>
          <w:rFonts w:eastAsia="Times New Roman" w:cstheme="minorHAnsi"/>
          <w:b/>
          <w:i/>
          <w:sz w:val="24"/>
          <w:szCs w:val="24"/>
        </w:rPr>
      </w:pPr>
      <w:r w:rsidRPr="0037117F">
        <w:rPr>
          <w:rFonts w:eastAsia="Times New Roman" w:cstheme="minorHAnsi"/>
          <w:b/>
          <w:i/>
          <w:sz w:val="24"/>
          <w:szCs w:val="24"/>
        </w:rPr>
        <w:t xml:space="preserve">Providers (View 0)  </w:t>
      </w:r>
    </w:p>
    <w:p w14:paraId="0C023000" w14:textId="77777777" w:rsidR="0037117F" w:rsidRPr="00AC7E1B" w:rsidRDefault="0037117F" w:rsidP="00AC7E1B">
      <w:pPr>
        <w:numPr>
          <w:ilvl w:val="0"/>
          <w:numId w:val="2"/>
        </w:numPr>
        <w:tabs>
          <w:tab w:val="left" w:pos="972"/>
        </w:tabs>
        <w:overflowPunct w:val="0"/>
        <w:autoSpaceDE w:val="0"/>
        <w:autoSpaceDN w:val="0"/>
        <w:adjustRightInd w:val="0"/>
        <w:spacing w:after="0" w:line="240" w:lineRule="auto"/>
        <w:contextualSpacing/>
        <w:textAlignment w:val="baseline"/>
        <w:rPr>
          <w:rFonts w:eastAsia="Times New Roman" w:cstheme="minorHAnsi"/>
          <w:b/>
          <w:i/>
          <w:sz w:val="24"/>
          <w:szCs w:val="24"/>
        </w:rPr>
      </w:pPr>
      <w:r w:rsidRPr="00AC7E1B">
        <w:rPr>
          <w:rFonts w:eastAsia="Times New Roman" w:cstheme="minorHAnsi"/>
          <w:i/>
          <w:sz w:val="24"/>
          <w:szCs w:val="24"/>
        </w:rPr>
        <w:t>Listed in this view are all of the Faculty and APPs included in the Provider Model.  Please make sure this is an accurate</w:t>
      </w:r>
      <w:r w:rsidR="00AC7E1B">
        <w:rPr>
          <w:rFonts w:eastAsia="Times New Roman" w:cstheme="minorHAnsi"/>
          <w:i/>
          <w:sz w:val="24"/>
          <w:szCs w:val="24"/>
        </w:rPr>
        <w:t>,</w:t>
      </w:r>
      <w:r w:rsidRPr="00AC7E1B">
        <w:rPr>
          <w:rFonts w:eastAsia="Times New Roman" w:cstheme="minorHAnsi"/>
          <w:i/>
          <w:sz w:val="24"/>
          <w:szCs w:val="24"/>
        </w:rPr>
        <w:t xml:space="preserve"> all-inclusive list prior to getting started.  If not, contact your Finance Liaison.  If you have a prior year BIP with an unmapped </w:t>
      </w:r>
      <w:proofErr w:type="gramStart"/>
      <w:r w:rsidRPr="00AC7E1B">
        <w:rPr>
          <w:rFonts w:eastAsia="Times New Roman" w:cstheme="minorHAnsi"/>
          <w:i/>
          <w:sz w:val="24"/>
          <w:szCs w:val="24"/>
        </w:rPr>
        <w:t>provider</w:t>
      </w:r>
      <w:proofErr w:type="gramEnd"/>
      <w:r w:rsidR="00BF6156">
        <w:rPr>
          <w:rFonts w:eastAsia="Times New Roman" w:cstheme="minorHAnsi"/>
          <w:i/>
          <w:sz w:val="24"/>
          <w:szCs w:val="24"/>
        </w:rPr>
        <w:t xml:space="preserve"> they will be included without a named provider</w:t>
      </w:r>
      <w:r w:rsidRPr="00AC7E1B">
        <w:rPr>
          <w:rFonts w:eastAsia="Times New Roman" w:cstheme="minorHAnsi"/>
          <w:i/>
          <w:sz w:val="24"/>
          <w:szCs w:val="24"/>
        </w:rPr>
        <w:t xml:space="preserve">.  These positions must be budgeted for in the Provider Model.    </w:t>
      </w:r>
      <w:r w:rsidRPr="00AC7E1B">
        <w:rPr>
          <w:rFonts w:eastAsia="Times New Roman" w:cstheme="minorHAnsi"/>
          <w:i/>
          <w:sz w:val="24"/>
          <w:szCs w:val="24"/>
        </w:rPr>
        <w:br/>
      </w:r>
    </w:p>
    <w:p w14:paraId="4AF81B9C" w14:textId="77777777" w:rsidR="0037117F" w:rsidRDefault="0037117F" w:rsidP="0037117F">
      <w:pPr>
        <w:tabs>
          <w:tab w:val="left" w:pos="972"/>
        </w:tabs>
        <w:overflowPunct w:val="0"/>
        <w:autoSpaceDE w:val="0"/>
        <w:autoSpaceDN w:val="0"/>
        <w:adjustRightInd w:val="0"/>
        <w:spacing w:after="0" w:line="240" w:lineRule="auto"/>
        <w:ind w:left="360"/>
        <w:textAlignment w:val="baseline"/>
        <w:rPr>
          <w:rFonts w:eastAsia="Times New Roman" w:cstheme="minorHAnsi"/>
          <w:b/>
          <w:i/>
          <w:sz w:val="24"/>
          <w:szCs w:val="24"/>
        </w:rPr>
      </w:pPr>
      <w:r w:rsidRPr="0037117F">
        <w:rPr>
          <w:rFonts w:eastAsia="Times New Roman" w:cstheme="minorHAnsi"/>
          <w:b/>
          <w:i/>
          <w:sz w:val="24"/>
          <w:szCs w:val="24"/>
        </w:rPr>
        <w:t>Effort Distribution (View 1)</w:t>
      </w:r>
    </w:p>
    <w:p w14:paraId="2B47FE93" w14:textId="3CE73778" w:rsidR="0037117F" w:rsidRPr="0037117F" w:rsidRDefault="0037117F" w:rsidP="0037117F">
      <w:pPr>
        <w:numPr>
          <w:ilvl w:val="0"/>
          <w:numId w:val="2"/>
        </w:numPr>
        <w:tabs>
          <w:tab w:val="left" w:pos="972"/>
        </w:tabs>
        <w:overflowPunct w:val="0"/>
        <w:autoSpaceDE w:val="0"/>
        <w:autoSpaceDN w:val="0"/>
        <w:adjustRightInd w:val="0"/>
        <w:spacing w:after="0" w:line="240" w:lineRule="auto"/>
        <w:contextualSpacing/>
        <w:textAlignment w:val="baseline"/>
        <w:rPr>
          <w:rFonts w:eastAsia="Times New Roman" w:cstheme="minorHAnsi"/>
          <w:i/>
          <w:sz w:val="24"/>
          <w:szCs w:val="24"/>
        </w:rPr>
      </w:pPr>
      <w:r w:rsidRPr="0037117F">
        <w:rPr>
          <w:rFonts w:eastAsia="Times New Roman" w:cstheme="minorHAnsi"/>
          <w:i/>
          <w:sz w:val="24"/>
          <w:szCs w:val="24"/>
        </w:rPr>
        <w:t>For Effort, you will be identifying how a p</w:t>
      </w:r>
      <w:r w:rsidR="00033297">
        <w:rPr>
          <w:rFonts w:eastAsia="Times New Roman" w:cstheme="minorHAnsi"/>
          <w:i/>
          <w:sz w:val="24"/>
          <w:szCs w:val="24"/>
        </w:rPr>
        <w:t>rovider (</w:t>
      </w:r>
      <w:r w:rsidR="00B727F2">
        <w:rPr>
          <w:rFonts w:eastAsia="Times New Roman" w:cstheme="minorHAnsi"/>
          <w:i/>
          <w:sz w:val="24"/>
          <w:szCs w:val="24"/>
        </w:rPr>
        <w:t>Faculty and APP</w:t>
      </w:r>
      <w:r w:rsidR="00033297">
        <w:rPr>
          <w:rFonts w:eastAsia="Times New Roman" w:cstheme="minorHAnsi"/>
          <w:i/>
          <w:sz w:val="24"/>
          <w:szCs w:val="24"/>
        </w:rPr>
        <w:t>)</w:t>
      </w:r>
      <w:r w:rsidRPr="0037117F">
        <w:rPr>
          <w:rFonts w:eastAsia="Times New Roman" w:cstheme="minorHAnsi"/>
          <w:i/>
          <w:sz w:val="24"/>
          <w:szCs w:val="24"/>
        </w:rPr>
        <w:t xml:space="preserve"> is spending </w:t>
      </w:r>
      <w:r w:rsidR="00B727F2">
        <w:rPr>
          <w:rFonts w:eastAsia="Times New Roman" w:cstheme="minorHAnsi"/>
          <w:i/>
          <w:sz w:val="24"/>
          <w:szCs w:val="24"/>
        </w:rPr>
        <w:t>their</w:t>
      </w:r>
      <w:r w:rsidRPr="0037117F">
        <w:rPr>
          <w:rFonts w:eastAsia="Times New Roman" w:cstheme="minorHAnsi"/>
          <w:i/>
          <w:sz w:val="24"/>
          <w:szCs w:val="24"/>
        </w:rPr>
        <w:t xml:space="preserve"> time on the following activities:  Clinical, Admin, Research, Academics, and </w:t>
      </w:r>
      <w:r w:rsidR="002D5C44">
        <w:rPr>
          <w:rFonts w:eastAsia="Times New Roman" w:cstheme="minorHAnsi"/>
          <w:i/>
          <w:sz w:val="24"/>
          <w:szCs w:val="24"/>
        </w:rPr>
        <w:t>Contract/</w:t>
      </w:r>
      <w:r w:rsidRPr="0037117F">
        <w:rPr>
          <w:rFonts w:eastAsia="Times New Roman" w:cstheme="minorHAnsi"/>
          <w:i/>
          <w:sz w:val="24"/>
          <w:szCs w:val="24"/>
        </w:rPr>
        <w:t xml:space="preserve">Other.  This information is important when modeling compensation alignment as well as determining the appropriate allocation of pay across companies and FAO’s.  </w:t>
      </w:r>
      <w:r w:rsidR="002D5C44">
        <w:rPr>
          <w:rFonts w:eastAsia="Times New Roman" w:cstheme="minorHAnsi"/>
          <w:i/>
          <w:sz w:val="24"/>
          <w:szCs w:val="24"/>
        </w:rPr>
        <w:t>P</w:t>
      </w:r>
      <w:r w:rsidRPr="0037117F">
        <w:rPr>
          <w:rFonts w:eastAsia="Times New Roman" w:cstheme="minorHAnsi"/>
          <w:i/>
          <w:sz w:val="24"/>
          <w:szCs w:val="24"/>
        </w:rPr>
        <w:t>lease refer to the</w:t>
      </w:r>
      <w:r w:rsidR="002D5C44">
        <w:rPr>
          <w:rFonts w:eastAsia="Times New Roman" w:cstheme="minorHAnsi"/>
          <w:i/>
          <w:sz w:val="24"/>
          <w:szCs w:val="24"/>
        </w:rPr>
        <w:t xml:space="preserve"> updated</w:t>
      </w:r>
      <w:r w:rsidRPr="0037117F">
        <w:rPr>
          <w:rFonts w:eastAsia="Times New Roman" w:cstheme="minorHAnsi"/>
          <w:i/>
          <w:sz w:val="24"/>
          <w:szCs w:val="24"/>
        </w:rPr>
        <w:t xml:space="preserve"> “Effort Definition” </w:t>
      </w:r>
      <w:r w:rsidR="008559DE">
        <w:rPr>
          <w:rFonts w:eastAsia="Times New Roman" w:cstheme="minorHAnsi"/>
          <w:i/>
          <w:sz w:val="24"/>
          <w:szCs w:val="24"/>
        </w:rPr>
        <w:t>section on page 5</w:t>
      </w:r>
      <w:r w:rsidR="002D5C44">
        <w:rPr>
          <w:rFonts w:eastAsia="Times New Roman" w:cstheme="minorHAnsi"/>
          <w:i/>
          <w:sz w:val="24"/>
          <w:szCs w:val="24"/>
        </w:rPr>
        <w:t>, as additional activities have been added to each Effort category</w:t>
      </w:r>
      <w:r w:rsidRPr="0037117F">
        <w:rPr>
          <w:rFonts w:eastAsia="Times New Roman" w:cstheme="minorHAnsi"/>
          <w:i/>
          <w:sz w:val="24"/>
          <w:szCs w:val="24"/>
        </w:rPr>
        <w:t>.</w:t>
      </w:r>
      <w:r w:rsidR="006763A6">
        <w:rPr>
          <w:rFonts w:eastAsia="Times New Roman" w:cstheme="minorHAnsi"/>
          <w:i/>
          <w:sz w:val="24"/>
          <w:szCs w:val="24"/>
        </w:rPr>
        <w:t xml:space="preserve"> Carefully review the differences between Administrative and Academic activities when allocating Effort between those two categories. </w:t>
      </w:r>
      <w:r w:rsidR="00313252">
        <w:rPr>
          <w:rFonts w:eastAsia="Times New Roman" w:cstheme="minorHAnsi"/>
          <w:i/>
          <w:sz w:val="24"/>
          <w:szCs w:val="24"/>
        </w:rPr>
        <w:t xml:space="preserve"> These categories apply for both Faculty and APPs.</w:t>
      </w:r>
    </w:p>
    <w:p w14:paraId="03FE0B26" w14:textId="77777777" w:rsidR="0037117F" w:rsidRPr="0037117F" w:rsidRDefault="0037117F" w:rsidP="0037117F">
      <w:pPr>
        <w:numPr>
          <w:ilvl w:val="0"/>
          <w:numId w:val="2"/>
        </w:numPr>
        <w:tabs>
          <w:tab w:val="left" w:pos="972"/>
        </w:tabs>
        <w:overflowPunct w:val="0"/>
        <w:autoSpaceDE w:val="0"/>
        <w:autoSpaceDN w:val="0"/>
        <w:adjustRightInd w:val="0"/>
        <w:spacing w:after="0" w:line="240" w:lineRule="auto"/>
        <w:contextualSpacing/>
        <w:textAlignment w:val="baseline"/>
        <w:rPr>
          <w:rFonts w:eastAsia="Times New Roman" w:cstheme="minorHAnsi"/>
          <w:i/>
          <w:sz w:val="24"/>
          <w:szCs w:val="24"/>
        </w:rPr>
      </w:pPr>
      <w:r w:rsidRPr="0037117F">
        <w:rPr>
          <w:rFonts w:eastAsia="Times New Roman" w:cstheme="minorHAnsi"/>
          <w:i/>
          <w:sz w:val="24"/>
          <w:szCs w:val="24"/>
        </w:rPr>
        <w:t>In addition to completing the allocation of 100% effort across categor</w:t>
      </w:r>
      <w:r w:rsidR="002D5C44">
        <w:rPr>
          <w:rFonts w:eastAsia="Times New Roman" w:cstheme="minorHAnsi"/>
          <w:i/>
          <w:sz w:val="24"/>
          <w:szCs w:val="24"/>
        </w:rPr>
        <w:t>ies</w:t>
      </w:r>
      <w:r w:rsidRPr="0037117F">
        <w:rPr>
          <w:rFonts w:eastAsia="Times New Roman" w:cstheme="minorHAnsi"/>
          <w:i/>
          <w:sz w:val="24"/>
          <w:szCs w:val="24"/>
        </w:rPr>
        <w:t xml:space="preserve">, please include any applicable Administrative roles.  When looking at pay variations, it is important to understand how pay is influenced by an Administrative or Leadership role. </w:t>
      </w:r>
      <w:r w:rsidR="002D5C44">
        <w:rPr>
          <w:rFonts w:eastAsia="Times New Roman" w:cstheme="minorHAnsi"/>
          <w:i/>
          <w:sz w:val="24"/>
          <w:szCs w:val="24"/>
        </w:rPr>
        <w:t>Administrative roles are generally supported by EITHER protected Administrative Effort OR a stipend.</w:t>
      </w:r>
      <w:r w:rsidRPr="0037117F">
        <w:rPr>
          <w:rFonts w:eastAsia="Times New Roman" w:cstheme="minorHAnsi"/>
          <w:i/>
          <w:sz w:val="24"/>
          <w:szCs w:val="24"/>
        </w:rPr>
        <w:t xml:space="preserve"> The system includes a drop</w:t>
      </w:r>
      <w:r w:rsidR="002D5C44">
        <w:rPr>
          <w:rFonts w:eastAsia="Times New Roman" w:cstheme="minorHAnsi"/>
          <w:i/>
          <w:sz w:val="24"/>
          <w:szCs w:val="24"/>
        </w:rPr>
        <w:t>-</w:t>
      </w:r>
      <w:r w:rsidRPr="0037117F">
        <w:rPr>
          <w:rFonts w:eastAsia="Times New Roman" w:cstheme="minorHAnsi"/>
          <w:i/>
          <w:sz w:val="24"/>
          <w:szCs w:val="24"/>
        </w:rPr>
        <w:t>down menu for generic roles.  Include additional specifics in the comment section.</w:t>
      </w:r>
    </w:p>
    <w:p w14:paraId="43FE57B1" w14:textId="77777777" w:rsidR="0037117F" w:rsidRPr="0037117F" w:rsidRDefault="0037117F" w:rsidP="0037117F">
      <w:pPr>
        <w:numPr>
          <w:ilvl w:val="0"/>
          <w:numId w:val="2"/>
        </w:numPr>
        <w:tabs>
          <w:tab w:val="left" w:pos="972"/>
        </w:tabs>
        <w:overflowPunct w:val="0"/>
        <w:autoSpaceDE w:val="0"/>
        <w:autoSpaceDN w:val="0"/>
        <w:adjustRightInd w:val="0"/>
        <w:spacing w:after="0" w:line="240" w:lineRule="auto"/>
        <w:contextualSpacing/>
        <w:textAlignment w:val="baseline"/>
        <w:rPr>
          <w:rFonts w:eastAsia="Times New Roman" w:cstheme="minorHAnsi"/>
          <w:i/>
          <w:sz w:val="24"/>
          <w:szCs w:val="24"/>
        </w:rPr>
      </w:pPr>
      <w:r w:rsidRPr="0037117F">
        <w:rPr>
          <w:rFonts w:eastAsia="Times New Roman" w:cstheme="minorHAnsi"/>
          <w:i/>
          <w:sz w:val="24"/>
          <w:szCs w:val="24"/>
        </w:rPr>
        <w:t>In reporting, effort %’s input by category are converted to an FTE by category based on a calculation utilizing standard hours (i.e. Full-time or Part-time).  For example</w:t>
      </w:r>
      <w:r>
        <w:rPr>
          <w:rFonts w:eastAsia="Times New Roman" w:cstheme="minorHAnsi"/>
          <w:i/>
          <w:sz w:val="24"/>
          <w:szCs w:val="24"/>
        </w:rPr>
        <w:t>,</w:t>
      </w:r>
      <w:r w:rsidRPr="0037117F">
        <w:rPr>
          <w:rFonts w:eastAsia="Times New Roman" w:cstheme="minorHAnsi"/>
          <w:i/>
          <w:sz w:val="24"/>
          <w:szCs w:val="24"/>
        </w:rPr>
        <w:t xml:space="preserve"> if you have a provider that is 100% C</w:t>
      </w:r>
      <w:r>
        <w:rPr>
          <w:rFonts w:eastAsia="Times New Roman" w:cstheme="minorHAnsi"/>
          <w:i/>
          <w:sz w:val="24"/>
          <w:szCs w:val="24"/>
        </w:rPr>
        <w:t>linical but part-time 20 hours you will input 100% in Axiom</w:t>
      </w:r>
      <w:r w:rsidRPr="0037117F">
        <w:rPr>
          <w:rFonts w:eastAsia="Times New Roman" w:cstheme="minorHAnsi"/>
          <w:i/>
          <w:sz w:val="24"/>
          <w:szCs w:val="24"/>
        </w:rPr>
        <w:t xml:space="preserve"> and the report will convert this to a .50 Clinical FTE.</w:t>
      </w:r>
    </w:p>
    <w:p w14:paraId="0F77058F" w14:textId="77777777" w:rsidR="008559DE" w:rsidRDefault="008559DE" w:rsidP="008559DE">
      <w:pPr>
        <w:tabs>
          <w:tab w:val="left" w:pos="972"/>
        </w:tabs>
        <w:overflowPunct w:val="0"/>
        <w:autoSpaceDE w:val="0"/>
        <w:autoSpaceDN w:val="0"/>
        <w:adjustRightInd w:val="0"/>
        <w:spacing w:after="0" w:line="240" w:lineRule="auto"/>
        <w:ind w:left="360"/>
        <w:textAlignment w:val="baseline"/>
        <w:rPr>
          <w:rFonts w:eastAsia="Times New Roman" w:cstheme="minorHAnsi"/>
          <w:b/>
          <w:i/>
          <w:sz w:val="24"/>
          <w:szCs w:val="24"/>
        </w:rPr>
      </w:pPr>
    </w:p>
    <w:p w14:paraId="45C0CEF1" w14:textId="77777777" w:rsidR="008559DE" w:rsidRDefault="0037117F" w:rsidP="008559DE">
      <w:pPr>
        <w:tabs>
          <w:tab w:val="left" w:pos="972"/>
        </w:tabs>
        <w:overflowPunct w:val="0"/>
        <w:autoSpaceDE w:val="0"/>
        <w:autoSpaceDN w:val="0"/>
        <w:adjustRightInd w:val="0"/>
        <w:spacing w:after="0" w:line="240" w:lineRule="auto"/>
        <w:ind w:left="360"/>
        <w:textAlignment w:val="baseline"/>
        <w:rPr>
          <w:rFonts w:eastAsia="Times New Roman" w:cstheme="minorHAnsi"/>
          <w:i/>
          <w:sz w:val="24"/>
          <w:szCs w:val="24"/>
        </w:rPr>
      </w:pPr>
      <w:r w:rsidRPr="0037117F">
        <w:rPr>
          <w:rFonts w:eastAsia="Times New Roman" w:cstheme="minorHAnsi"/>
          <w:b/>
          <w:i/>
          <w:sz w:val="24"/>
          <w:szCs w:val="24"/>
        </w:rPr>
        <w:lastRenderedPageBreak/>
        <w:t>wRVUs (View 2)</w:t>
      </w:r>
    </w:p>
    <w:p w14:paraId="10CFCF7E" w14:textId="522A4C3E" w:rsidR="008559DE" w:rsidRPr="005D5E9C" w:rsidRDefault="00CF2E2A" w:rsidP="008559DE">
      <w:pPr>
        <w:pStyle w:val="ListParagraph"/>
        <w:numPr>
          <w:ilvl w:val="0"/>
          <w:numId w:val="17"/>
        </w:numPr>
        <w:tabs>
          <w:tab w:val="left" w:pos="972"/>
        </w:tabs>
        <w:rPr>
          <w:rFonts w:cstheme="minorHAnsi"/>
          <w:i/>
          <w:sz w:val="24"/>
          <w:szCs w:val="24"/>
        </w:rPr>
      </w:pPr>
      <w:r w:rsidRPr="005D5E9C">
        <w:rPr>
          <w:rFonts w:asciiTheme="minorHAnsi" w:hAnsiTheme="minorHAnsi" w:cstheme="minorHAnsi"/>
          <w:i/>
          <w:sz w:val="24"/>
          <w:szCs w:val="24"/>
        </w:rPr>
        <w:t>wRVUs are used to a</w:t>
      </w:r>
      <w:r w:rsidR="0037117F" w:rsidRPr="005D5E9C">
        <w:rPr>
          <w:rFonts w:asciiTheme="minorHAnsi" w:hAnsiTheme="minorHAnsi" w:cstheme="minorHAnsi"/>
          <w:i/>
          <w:sz w:val="24"/>
          <w:szCs w:val="24"/>
        </w:rPr>
        <w:t>nalyze productivity and calculate revenue</w:t>
      </w:r>
      <w:r w:rsidR="0037117F" w:rsidRPr="005D5E9C">
        <w:rPr>
          <w:rFonts w:cstheme="minorHAnsi"/>
          <w:i/>
          <w:sz w:val="24"/>
          <w:szCs w:val="24"/>
        </w:rPr>
        <w:t xml:space="preserve">. </w:t>
      </w:r>
    </w:p>
    <w:p w14:paraId="0F57C362" w14:textId="17E54C3E" w:rsidR="00AC7E1B" w:rsidRDefault="008559DE" w:rsidP="00AC7E1B">
      <w:pPr>
        <w:numPr>
          <w:ilvl w:val="0"/>
          <w:numId w:val="3"/>
        </w:numPr>
        <w:tabs>
          <w:tab w:val="left" w:pos="972"/>
        </w:tabs>
        <w:overflowPunct w:val="0"/>
        <w:autoSpaceDE w:val="0"/>
        <w:autoSpaceDN w:val="0"/>
        <w:adjustRightInd w:val="0"/>
        <w:spacing w:after="0" w:line="240" w:lineRule="auto"/>
        <w:contextualSpacing/>
        <w:textAlignment w:val="baseline"/>
        <w:rPr>
          <w:rFonts w:eastAsia="Times New Roman" w:cstheme="minorHAnsi"/>
          <w:i/>
          <w:sz w:val="24"/>
          <w:szCs w:val="24"/>
        </w:rPr>
      </w:pPr>
      <w:r w:rsidRPr="0037117F">
        <w:rPr>
          <w:rFonts w:eastAsia="Times New Roman" w:cstheme="minorHAnsi"/>
          <w:i/>
          <w:sz w:val="24"/>
          <w:szCs w:val="24"/>
        </w:rPr>
        <w:t>The provider model allows you to budget both target and incentive</w:t>
      </w:r>
      <w:r>
        <w:rPr>
          <w:rFonts w:eastAsia="Times New Roman" w:cstheme="minorHAnsi"/>
          <w:i/>
          <w:sz w:val="24"/>
          <w:szCs w:val="24"/>
        </w:rPr>
        <w:t xml:space="preserve"> </w:t>
      </w:r>
      <w:r w:rsidRPr="0037117F">
        <w:rPr>
          <w:rFonts w:eastAsia="Times New Roman" w:cstheme="minorHAnsi"/>
          <w:i/>
          <w:sz w:val="24"/>
          <w:szCs w:val="24"/>
        </w:rPr>
        <w:t>wRVUs (if applicable)</w:t>
      </w:r>
      <w:r w:rsidR="002839B3">
        <w:rPr>
          <w:rFonts w:eastAsia="Times New Roman" w:cstheme="minorHAnsi"/>
          <w:i/>
          <w:sz w:val="24"/>
          <w:szCs w:val="24"/>
        </w:rPr>
        <w:t xml:space="preserve">.  </w:t>
      </w:r>
      <w:r w:rsidRPr="0037117F">
        <w:rPr>
          <w:rFonts w:eastAsia="Times New Roman" w:cstheme="minorHAnsi"/>
          <w:i/>
          <w:sz w:val="24"/>
          <w:szCs w:val="24"/>
        </w:rPr>
        <w:t>Please include projections for FY2</w:t>
      </w:r>
      <w:r w:rsidR="00B727F2">
        <w:rPr>
          <w:rFonts w:eastAsia="Times New Roman" w:cstheme="minorHAnsi"/>
          <w:i/>
          <w:sz w:val="24"/>
          <w:szCs w:val="24"/>
        </w:rPr>
        <w:t>5</w:t>
      </w:r>
      <w:r w:rsidRPr="0037117F">
        <w:rPr>
          <w:rFonts w:eastAsia="Times New Roman" w:cstheme="minorHAnsi"/>
          <w:i/>
          <w:sz w:val="24"/>
          <w:szCs w:val="24"/>
        </w:rPr>
        <w:t xml:space="preserve"> and budget for FY2</w:t>
      </w:r>
      <w:r w:rsidR="00B727F2">
        <w:rPr>
          <w:rFonts w:eastAsia="Times New Roman" w:cstheme="minorHAnsi"/>
          <w:i/>
          <w:sz w:val="24"/>
          <w:szCs w:val="24"/>
        </w:rPr>
        <w:t>6</w:t>
      </w:r>
      <w:r w:rsidR="002839B3">
        <w:rPr>
          <w:rFonts w:eastAsia="Times New Roman" w:cstheme="minorHAnsi"/>
          <w:i/>
          <w:sz w:val="24"/>
          <w:szCs w:val="24"/>
        </w:rPr>
        <w:t>.</w:t>
      </w:r>
    </w:p>
    <w:p w14:paraId="34EF3954" w14:textId="77777777" w:rsidR="00F23836" w:rsidRPr="00AC7E1B" w:rsidRDefault="00F23836" w:rsidP="00AC7E1B">
      <w:pPr>
        <w:numPr>
          <w:ilvl w:val="0"/>
          <w:numId w:val="3"/>
        </w:numPr>
        <w:tabs>
          <w:tab w:val="left" w:pos="972"/>
        </w:tabs>
        <w:overflowPunct w:val="0"/>
        <w:autoSpaceDE w:val="0"/>
        <w:autoSpaceDN w:val="0"/>
        <w:adjustRightInd w:val="0"/>
        <w:spacing w:after="0" w:line="240" w:lineRule="auto"/>
        <w:contextualSpacing/>
        <w:textAlignment w:val="baseline"/>
        <w:rPr>
          <w:rFonts w:eastAsia="Times New Roman" w:cstheme="minorHAnsi"/>
          <w:i/>
          <w:sz w:val="24"/>
          <w:szCs w:val="24"/>
        </w:rPr>
      </w:pPr>
      <w:r>
        <w:rPr>
          <w:rFonts w:eastAsia="Times New Roman" w:cstheme="minorHAnsi"/>
          <w:i/>
          <w:sz w:val="24"/>
          <w:szCs w:val="24"/>
        </w:rPr>
        <w:t>Incentive wRVUs should represent an achievable target, not a stretch goal, and should align with budgeted Incentive Compensation.</w:t>
      </w:r>
    </w:p>
    <w:p w14:paraId="5877243B" w14:textId="77777777" w:rsidR="0037117F" w:rsidRPr="007D332E" w:rsidRDefault="008559DE" w:rsidP="008559DE">
      <w:pPr>
        <w:numPr>
          <w:ilvl w:val="0"/>
          <w:numId w:val="3"/>
        </w:numPr>
        <w:tabs>
          <w:tab w:val="left" w:pos="972"/>
        </w:tabs>
        <w:overflowPunct w:val="0"/>
        <w:autoSpaceDE w:val="0"/>
        <w:autoSpaceDN w:val="0"/>
        <w:adjustRightInd w:val="0"/>
        <w:spacing w:after="0" w:line="240" w:lineRule="auto"/>
        <w:contextualSpacing/>
        <w:textAlignment w:val="baseline"/>
        <w:rPr>
          <w:rFonts w:eastAsia="Times New Roman" w:cstheme="minorHAnsi"/>
          <w:b/>
          <w:i/>
          <w:sz w:val="24"/>
          <w:szCs w:val="24"/>
        </w:rPr>
      </w:pPr>
      <w:r w:rsidRPr="0037117F">
        <w:rPr>
          <w:rFonts w:eastAsia="Times New Roman" w:cstheme="minorHAnsi"/>
          <w:i/>
          <w:sz w:val="24"/>
          <w:szCs w:val="24"/>
        </w:rPr>
        <w:t xml:space="preserve">HB </w:t>
      </w:r>
      <w:r>
        <w:rPr>
          <w:rFonts w:eastAsia="Times New Roman" w:cstheme="minorHAnsi"/>
          <w:i/>
          <w:sz w:val="24"/>
          <w:szCs w:val="24"/>
        </w:rPr>
        <w:t>wRVU’s will appear</w:t>
      </w:r>
      <w:r w:rsidRPr="0037117F">
        <w:rPr>
          <w:rFonts w:eastAsia="Times New Roman" w:cstheme="minorHAnsi"/>
          <w:i/>
          <w:sz w:val="24"/>
          <w:szCs w:val="24"/>
        </w:rPr>
        <w:t xml:space="preserve"> in a separate line called SMH HB or HH HB</w:t>
      </w:r>
      <w:r>
        <w:rPr>
          <w:rFonts w:eastAsia="Times New Roman" w:cstheme="minorHAnsi"/>
          <w:i/>
          <w:sz w:val="24"/>
          <w:szCs w:val="24"/>
        </w:rPr>
        <w:t xml:space="preserve">.   However, </w:t>
      </w:r>
      <w:r w:rsidR="0037117F" w:rsidRPr="008559DE">
        <w:rPr>
          <w:rFonts w:eastAsia="Times New Roman" w:cstheme="minorHAnsi"/>
          <w:i/>
          <w:sz w:val="24"/>
          <w:szCs w:val="24"/>
        </w:rPr>
        <w:t>HB Revenue is calculated separate from Provider Model, so you will not see charges or revenue related to HB pulled into Axiom.</w:t>
      </w:r>
      <w:r w:rsidRPr="008559DE">
        <w:rPr>
          <w:rFonts w:eastAsia="Times New Roman" w:cstheme="minorHAnsi"/>
          <w:i/>
          <w:sz w:val="24"/>
          <w:szCs w:val="24"/>
        </w:rPr>
        <w:t xml:space="preserve">  </w:t>
      </w:r>
      <w:r w:rsidRPr="007D332E">
        <w:rPr>
          <w:rFonts w:eastAsia="Times New Roman" w:cstheme="minorHAnsi"/>
          <w:b/>
          <w:i/>
          <w:sz w:val="24"/>
          <w:szCs w:val="24"/>
        </w:rPr>
        <w:t>It is still imperative to do a projection and budget for HB RVUs.</w:t>
      </w:r>
    </w:p>
    <w:p w14:paraId="75952729" w14:textId="77777777" w:rsidR="00B727F2" w:rsidRDefault="002D5C44" w:rsidP="00AC7E1B">
      <w:pPr>
        <w:numPr>
          <w:ilvl w:val="0"/>
          <w:numId w:val="3"/>
        </w:numPr>
        <w:tabs>
          <w:tab w:val="left" w:pos="972"/>
        </w:tabs>
        <w:overflowPunct w:val="0"/>
        <w:autoSpaceDE w:val="0"/>
        <w:autoSpaceDN w:val="0"/>
        <w:adjustRightInd w:val="0"/>
        <w:spacing w:after="0" w:line="240" w:lineRule="auto"/>
        <w:contextualSpacing/>
        <w:textAlignment w:val="baseline"/>
        <w:rPr>
          <w:rFonts w:eastAsia="Times New Roman" w:cstheme="minorHAnsi"/>
          <w:i/>
          <w:sz w:val="24"/>
          <w:szCs w:val="24"/>
        </w:rPr>
      </w:pPr>
      <w:r>
        <w:rPr>
          <w:rFonts w:eastAsia="Times New Roman" w:cstheme="minorHAnsi"/>
          <w:i/>
          <w:sz w:val="24"/>
          <w:szCs w:val="24"/>
        </w:rPr>
        <w:t xml:space="preserve">Ensure </w:t>
      </w:r>
      <w:r w:rsidR="00392AA9">
        <w:rPr>
          <w:rFonts w:eastAsia="Times New Roman" w:cstheme="minorHAnsi"/>
          <w:i/>
          <w:sz w:val="24"/>
          <w:szCs w:val="24"/>
        </w:rPr>
        <w:t xml:space="preserve">base and incentive </w:t>
      </w:r>
      <w:r>
        <w:rPr>
          <w:rFonts w:eastAsia="Times New Roman" w:cstheme="minorHAnsi"/>
          <w:i/>
          <w:sz w:val="24"/>
          <w:szCs w:val="24"/>
        </w:rPr>
        <w:t xml:space="preserve">wRVUs are budgeted in the appropriate FAO </w:t>
      </w:r>
      <w:r w:rsidR="00356286">
        <w:rPr>
          <w:rFonts w:eastAsia="Times New Roman" w:cstheme="minorHAnsi"/>
          <w:i/>
          <w:sz w:val="24"/>
          <w:szCs w:val="24"/>
        </w:rPr>
        <w:t>based on where the clinical work will take place</w:t>
      </w:r>
      <w:r w:rsidR="005D5E9C">
        <w:rPr>
          <w:rFonts w:eastAsia="Times New Roman" w:cstheme="minorHAnsi"/>
          <w:i/>
          <w:sz w:val="24"/>
          <w:szCs w:val="24"/>
        </w:rPr>
        <w:t>.</w:t>
      </w:r>
    </w:p>
    <w:p w14:paraId="469A4C4C" w14:textId="6F939702" w:rsidR="00C0743B" w:rsidRPr="00C0743B" w:rsidRDefault="00B727F2" w:rsidP="00AC7E1B">
      <w:pPr>
        <w:numPr>
          <w:ilvl w:val="0"/>
          <w:numId w:val="3"/>
        </w:numPr>
        <w:tabs>
          <w:tab w:val="left" w:pos="972"/>
        </w:tabs>
        <w:overflowPunct w:val="0"/>
        <w:autoSpaceDE w:val="0"/>
        <w:autoSpaceDN w:val="0"/>
        <w:adjustRightInd w:val="0"/>
        <w:spacing w:after="0" w:line="240" w:lineRule="auto"/>
        <w:contextualSpacing/>
        <w:textAlignment w:val="baseline"/>
        <w:rPr>
          <w:rFonts w:eastAsia="Times New Roman" w:cstheme="minorHAnsi"/>
          <w:i/>
          <w:sz w:val="24"/>
          <w:szCs w:val="24"/>
        </w:rPr>
      </w:pPr>
      <w:r w:rsidRPr="00B727F2">
        <w:rPr>
          <w:rFonts w:eastAsia="Times New Roman" w:cstheme="minorHAnsi"/>
          <w:i/>
          <w:color w:val="FF0000"/>
          <w:sz w:val="24"/>
          <w:szCs w:val="24"/>
        </w:rPr>
        <w:t>NEW</w:t>
      </w:r>
      <w:r w:rsidR="00C0743B">
        <w:rPr>
          <w:rFonts w:eastAsia="Times New Roman" w:cstheme="minorHAnsi"/>
          <w:i/>
          <w:color w:val="FF0000"/>
          <w:sz w:val="24"/>
          <w:szCs w:val="24"/>
        </w:rPr>
        <w:t xml:space="preserve">:  Currently wRVUs are spread to the months based on days.  If you would like to adjust the spread for ramp up, seasonality, or planned vacations – use the Incentive Row to make adjustments.  For </w:t>
      </w:r>
      <w:r w:rsidR="006A71E6">
        <w:rPr>
          <w:rFonts w:eastAsia="Times New Roman" w:cstheme="minorHAnsi"/>
          <w:i/>
          <w:color w:val="FF0000"/>
          <w:sz w:val="24"/>
          <w:szCs w:val="24"/>
        </w:rPr>
        <w:t>example,</w:t>
      </w:r>
      <w:r w:rsidR="00C0743B">
        <w:rPr>
          <w:rFonts w:eastAsia="Times New Roman" w:cstheme="minorHAnsi"/>
          <w:i/>
          <w:color w:val="FF0000"/>
          <w:sz w:val="24"/>
          <w:szCs w:val="24"/>
        </w:rPr>
        <w:t xml:space="preserve"> you may want to -200 in the month of July, but add </w:t>
      </w:r>
      <w:proofErr w:type="gramStart"/>
      <w:r w:rsidR="00C0743B">
        <w:rPr>
          <w:rFonts w:eastAsia="Times New Roman" w:cstheme="minorHAnsi"/>
          <w:i/>
          <w:color w:val="FF0000"/>
          <w:sz w:val="24"/>
          <w:szCs w:val="24"/>
        </w:rPr>
        <w:t>200</w:t>
      </w:r>
      <w:proofErr w:type="gramEnd"/>
      <w:r w:rsidR="00C0743B">
        <w:rPr>
          <w:rFonts w:eastAsia="Times New Roman" w:cstheme="minorHAnsi"/>
          <w:i/>
          <w:color w:val="FF0000"/>
          <w:sz w:val="24"/>
          <w:szCs w:val="24"/>
        </w:rPr>
        <w:t xml:space="preserve"> the month of November.  Please just make sure your adjustments net to zero across the row. </w:t>
      </w:r>
    </w:p>
    <w:p w14:paraId="5C6C9FE7" w14:textId="77777777" w:rsidR="00FA3CC2" w:rsidRDefault="00C0743B" w:rsidP="00C0743B">
      <w:pPr>
        <w:tabs>
          <w:tab w:val="left" w:pos="972"/>
        </w:tabs>
        <w:overflowPunct w:val="0"/>
        <w:autoSpaceDE w:val="0"/>
        <w:autoSpaceDN w:val="0"/>
        <w:adjustRightInd w:val="0"/>
        <w:spacing w:after="0" w:line="240" w:lineRule="auto"/>
        <w:ind w:left="1080"/>
        <w:contextualSpacing/>
        <w:textAlignment w:val="baseline"/>
        <w:rPr>
          <w:rFonts w:eastAsia="Times New Roman" w:cstheme="minorHAnsi"/>
          <w:i/>
          <w:color w:val="FF0000"/>
          <w:sz w:val="24"/>
          <w:szCs w:val="24"/>
        </w:rPr>
      </w:pPr>
      <w:r>
        <w:rPr>
          <w:rFonts w:eastAsia="Times New Roman" w:cstheme="minorHAnsi"/>
          <w:i/>
          <w:color w:val="FF0000"/>
          <w:sz w:val="24"/>
          <w:szCs w:val="24"/>
        </w:rPr>
        <w:t>If you are a department that uses the incentive wRVU row already, contact your finance liaison and we will help you make the spread adjustments.</w:t>
      </w:r>
    </w:p>
    <w:p w14:paraId="71B9DBF6" w14:textId="26AAF04C" w:rsidR="0037117F" w:rsidRPr="00AC7E1B" w:rsidRDefault="00FA3CC2" w:rsidP="00C0743B">
      <w:pPr>
        <w:tabs>
          <w:tab w:val="left" w:pos="972"/>
        </w:tabs>
        <w:overflowPunct w:val="0"/>
        <w:autoSpaceDE w:val="0"/>
        <w:autoSpaceDN w:val="0"/>
        <w:adjustRightInd w:val="0"/>
        <w:spacing w:after="0" w:line="240" w:lineRule="auto"/>
        <w:ind w:left="1080"/>
        <w:contextualSpacing/>
        <w:textAlignment w:val="baseline"/>
        <w:rPr>
          <w:rFonts w:eastAsia="Times New Roman" w:cstheme="minorHAnsi"/>
          <w:i/>
          <w:sz w:val="24"/>
          <w:szCs w:val="24"/>
        </w:rPr>
      </w:pPr>
      <w:r>
        <w:rPr>
          <w:rFonts w:eastAsia="Times New Roman" w:cstheme="minorHAnsi"/>
          <w:i/>
          <w:color w:val="FF0000"/>
          <w:sz w:val="24"/>
          <w:szCs w:val="24"/>
        </w:rPr>
        <w:t>NEW:  If you increase wRVUs greater than a 3% increase, please provide explanation.</w:t>
      </w:r>
      <w:r w:rsidR="0037117F" w:rsidRPr="0037117F">
        <w:rPr>
          <w:rFonts w:eastAsia="Times New Roman" w:cstheme="minorHAnsi"/>
          <w:i/>
          <w:sz w:val="24"/>
          <w:szCs w:val="24"/>
        </w:rPr>
        <w:br/>
      </w:r>
    </w:p>
    <w:p w14:paraId="02385B7D" w14:textId="77777777" w:rsidR="0037117F" w:rsidRPr="00CE79C2" w:rsidRDefault="0037117F" w:rsidP="0037117F">
      <w:pPr>
        <w:tabs>
          <w:tab w:val="left" w:pos="972"/>
        </w:tabs>
        <w:overflowPunct w:val="0"/>
        <w:autoSpaceDE w:val="0"/>
        <w:autoSpaceDN w:val="0"/>
        <w:adjustRightInd w:val="0"/>
        <w:spacing w:after="0" w:line="240" w:lineRule="auto"/>
        <w:textAlignment w:val="baseline"/>
        <w:rPr>
          <w:rFonts w:eastAsia="Times New Roman" w:cstheme="minorHAnsi"/>
          <w:b/>
          <w:i/>
          <w:sz w:val="24"/>
          <w:szCs w:val="24"/>
        </w:rPr>
      </w:pPr>
      <w:r w:rsidRPr="00CE79C2">
        <w:rPr>
          <w:rFonts w:eastAsia="Times New Roman" w:cstheme="minorHAnsi"/>
          <w:b/>
          <w:i/>
          <w:sz w:val="24"/>
          <w:szCs w:val="24"/>
        </w:rPr>
        <w:t>Compensation (View 3)</w:t>
      </w:r>
    </w:p>
    <w:p w14:paraId="471A8C46" w14:textId="2731FD6B" w:rsidR="0037117F" w:rsidRPr="00CE79C2" w:rsidRDefault="0037117F" w:rsidP="0037117F">
      <w:pPr>
        <w:numPr>
          <w:ilvl w:val="0"/>
          <w:numId w:val="4"/>
        </w:numPr>
        <w:tabs>
          <w:tab w:val="left" w:pos="972"/>
        </w:tabs>
        <w:overflowPunct w:val="0"/>
        <w:autoSpaceDE w:val="0"/>
        <w:autoSpaceDN w:val="0"/>
        <w:adjustRightInd w:val="0"/>
        <w:spacing w:after="0" w:line="240" w:lineRule="auto"/>
        <w:contextualSpacing/>
        <w:textAlignment w:val="baseline"/>
        <w:rPr>
          <w:rFonts w:eastAsia="Times New Roman" w:cstheme="minorHAnsi"/>
          <w:i/>
          <w:sz w:val="24"/>
          <w:szCs w:val="24"/>
        </w:rPr>
      </w:pPr>
      <w:r w:rsidRPr="00CE79C2">
        <w:rPr>
          <w:rFonts w:eastAsia="Times New Roman" w:cstheme="minorHAnsi"/>
          <w:i/>
          <w:sz w:val="24"/>
          <w:szCs w:val="24"/>
        </w:rPr>
        <w:t>Please pay close attention to compensation for Administrative Roles.  Admin roles should be charged to SMH</w:t>
      </w:r>
      <w:r w:rsidR="00537B53" w:rsidRPr="00CE79C2">
        <w:rPr>
          <w:rFonts w:eastAsia="Times New Roman" w:cstheme="minorHAnsi"/>
          <w:i/>
          <w:sz w:val="24"/>
          <w:szCs w:val="24"/>
        </w:rPr>
        <w:t>, MFG</w:t>
      </w:r>
      <w:r w:rsidRPr="00CE79C2">
        <w:rPr>
          <w:rFonts w:eastAsia="Times New Roman" w:cstheme="minorHAnsi"/>
          <w:i/>
          <w:sz w:val="24"/>
          <w:szCs w:val="24"/>
        </w:rPr>
        <w:t xml:space="preserve"> or SMD dependent upon the function.</w:t>
      </w:r>
      <w:r w:rsidR="00356286" w:rsidRPr="00CE79C2">
        <w:rPr>
          <w:rFonts w:eastAsia="Times New Roman" w:cstheme="minorHAnsi"/>
          <w:i/>
          <w:sz w:val="24"/>
          <w:szCs w:val="24"/>
        </w:rPr>
        <w:t xml:space="preserve"> Programmatic departmental roles should be charged to </w:t>
      </w:r>
      <w:r w:rsidR="00537B53" w:rsidRPr="00CE79C2">
        <w:rPr>
          <w:rFonts w:eastAsia="Times New Roman" w:cstheme="minorHAnsi"/>
          <w:i/>
          <w:sz w:val="24"/>
          <w:szCs w:val="24"/>
        </w:rPr>
        <w:t>a distinct Admin</w:t>
      </w:r>
      <w:r w:rsidR="00356286" w:rsidRPr="00CE79C2">
        <w:rPr>
          <w:rFonts w:eastAsia="Times New Roman" w:cstheme="minorHAnsi"/>
          <w:i/>
          <w:sz w:val="24"/>
          <w:szCs w:val="24"/>
        </w:rPr>
        <w:t xml:space="preserve"> FAO</w:t>
      </w:r>
      <w:r w:rsidR="00537B53" w:rsidRPr="00CE79C2">
        <w:rPr>
          <w:rFonts w:eastAsia="Times New Roman" w:cstheme="minorHAnsi"/>
          <w:i/>
          <w:sz w:val="24"/>
          <w:szCs w:val="24"/>
        </w:rPr>
        <w:t>, if available</w:t>
      </w:r>
      <w:r w:rsidR="00356286" w:rsidRPr="00CE79C2">
        <w:rPr>
          <w:rFonts w:eastAsia="Times New Roman" w:cstheme="minorHAnsi"/>
          <w:i/>
          <w:sz w:val="24"/>
          <w:szCs w:val="24"/>
        </w:rPr>
        <w:t>.</w:t>
      </w:r>
      <w:r w:rsidRPr="00CE79C2">
        <w:rPr>
          <w:rFonts w:eastAsia="Times New Roman" w:cstheme="minorHAnsi"/>
          <w:i/>
          <w:sz w:val="24"/>
          <w:szCs w:val="24"/>
        </w:rPr>
        <w:t xml:space="preserve">  </w:t>
      </w:r>
      <w:r w:rsidR="005D5E9C">
        <w:rPr>
          <w:rFonts w:eastAsia="Times New Roman" w:cstheme="minorHAnsi"/>
          <w:i/>
          <w:sz w:val="24"/>
          <w:szCs w:val="24"/>
        </w:rPr>
        <w:t>P</w:t>
      </w:r>
      <w:r w:rsidRPr="00CE79C2">
        <w:rPr>
          <w:rFonts w:eastAsia="Times New Roman" w:cstheme="minorHAnsi"/>
          <w:i/>
          <w:sz w:val="24"/>
          <w:szCs w:val="24"/>
        </w:rPr>
        <w:t>lease budget appropriately based on % of effort spent on these roles.</w:t>
      </w:r>
      <w:r w:rsidR="00356286" w:rsidRPr="00CE79C2">
        <w:rPr>
          <w:rFonts w:eastAsia="Times New Roman" w:cstheme="minorHAnsi"/>
          <w:i/>
          <w:sz w:val="24"/>
          <w:szCs w:val="24"/>
        </w:rPr>
        <w:t xml:space="preserve"> </w:t>
      </w:r>
    </w:p>
    <w:p w14:paraId="6084264F" w14:textId="6EDED79A" w:rsidR="0037117F" w:rsidRDefault="0037117F" w:rsidP="00AC7E1B">
      <w:pPr>
        <w:numPr>
          <w:ilvl w:val="0"/>
          <w:numId w:val="4"/>
        </w:numPr>
        <w:tabs>
          <w:tab w:val="left" w:pos="972"/>
        </w:tabs>
        <w:overflowPunct w:val="0"/>
        <w:autoSpaceDE w:val="0"/>
        <w:autoSpaceDN w:val="0"/>
        <w:adjustRightInd w:val="0"/>
        <w:spacing w:after="0" w:line="240" w:lineRule="auto"/>
        <w:contextualSpacing/>
        <w:textAlignment w:val="baseline"/>
        <w:rPr>
          <w:rFonts w:eastAsia="Times New Roman" w:cstheme="minorHAnsi"/>
          <w:i/>
          <w:sz w:val="24"/>
          <w:szCs w:val="24"/>
        </w:rPr>
      </w:pPr>
      <w:r w:rsidRPr="00CE79C2">
        <w:rPr>
          <w:rFonts w:eastAsia="Times New Roman" w:cstheme="minorHAnsi"/>
          <w:i/>
          <w:sz w:val="24"/>
          <w:szCs w:val="24"/>
        </w:rPr>
        <w:t xml:space="preserve">When budgeting provider compensation, keep in mind alignment.  The overall goal is to align provider compensation to </w:t>
      </w:r>
      <w:r w:rsidR="00B665A5" w:rsidRPr="00CE79C2">
        <w:rPr>
          <w:rFonts w:eastAsia="Times New Roman" w:cstheme="minorHAnsi"/>
          <w:i/>
          <w:sz w:val="24"/>
          <w:szCs w:val="24"/>
        </w:rPr>
        <w:t>+/</w:t>
      </w:r>
      <w:r w:rsidRPr="00CE79C2">
        <w:rPr>
          <w:rFonts w:eastAsia="Times New Roman" w:cstheme="minorHAnsi"/>
          <w:i/>
          <w:sz w:val="24"/>
          <w:szCs w:val="24"/>
        </w:rPr>
        <w:t>-1</w:t>
      </w:r>
      <w:r w:rsidR="00356286" w:rsidRPr="00CE79C2">
        <w:rPr>
          <w:rFonts w:eastAsia="Times New Roman" w:cstheme="minorHAnsi"/>
          <w:i/>
          <w:sz w:val="24"/>
          <w:szCs w:val="24"/>
        </w:rPr>
        <w:t>0</w:t>
      </w:r>
      <w:r w:rsidRPr="00CE79C2">
        <w:rPr>
          <w:rFonts w:eastAsia="Times New Roman" w:cstheme="minorHAnsi"/>
          <w:i/>
          <w:sz w:val="24"/>
          <w:szCs w:val="24"/>
        </w:rPr>
        <w:t xml:space="preserve">%tile, however, this is dependent upon leadership review and Medical Center affordability. </w:t>
      </w:r>
      <w:r w:rsidR="00356286" w:rsidRPr="00CE79C2">
        <w:rPr>
          <w:rFonts w:eastAsia="Times New Roman" w:cstheme="minorHAnsi"/>
          <w:i/>
          <w:sz w:val="24"/>
          <w:szCs w:val="24"/>
        </w:rPr>
        <w:t xml:space="preserve">At a minimum, the mean alignment across each department and division should be within +/-10%tile even if individuals may stray outside those bounds. </w:t>
      </w:r>
      <w:r w:rsidRPr="00CE79C2">
        <w:rPr>
          <w:rFonts w:eastAsia="Times New Roman" w:cstheme="minorHAnsi"/>
          <w:i/>
          <w:sz w:val="24"/>
          <w:szCs w:val="24"/>
        </w:rPr>
        <w:t xml:space="preserve">Compensation </w:t>
      </w:r>
      <w:r w:rsidR="00AC7E1B" w:rsidRPr="00CE79C2">
        <w:rPr>
          <w:rFonts w:eastAsia="Times New Roman" w:cstheme="minorHAnsi"/>
          <w:i/>
          <w:sz w:val="24"/>
          <w:szCs w:val="24"/>
        </w:rPr>
        <w:t xml:space="preserve">Tool Kit </w:t>
      </w:r>
      <w:r w:rsidR="00773137" w:rsidRPr="00CE79C2">
        <w:rPr>
          <w:rFonts w:eastAsia="Times New Roman" w:cstheme="minorHAnsi"/>
          <w:i/>
          <w:sz w:val="24"/>
          <w:szCs w:val="24"/>
        </w:rPr>
        <w:t>Reports are</w:t>
      </w:r>
      <w:r w:rsidR="00AC7E1B" w:rsidRPr="00CE79C2">
        <w:rPr>
          <w:rFonts w:eastAsia="Times New Roman" w:cstheme="minorHAnsi"/>
          <w:i/>
          <w:sz w:val="24"/>
          <w:szCs w:val="24"/>
        </w:rPr>
        <w:t xml:space="preserve"> available in Provider Maintenance</w:t>
      </w:r>
      <w:r w:rsidRPr="00CE79C2">
        <w:rPr>
          <w:rFonts w:eastAsia="Times New Roman" w:cstheme="minorHAnsi"/>
          <w:i/>
          <w:sz w:val="24"/>
          <w:szCs w:val="24"/>
        </w:rPr>
        <w:t xml:space="preserve"> to model compensation and productivity compared to your department specific benchmark surveys</w:t>
      </w:r>
      <w:r w:rsidR="005D5E9C">
        <w:rPr>
          <w:rFonts w:eastAsia="Times New Roman" w:cstheme="minorHAnsi"/>
          <w:i/>
          <w:sz w:val="24"/>
          <w:szCs w:val="24"/>
        </w:rPr>
        <w:t xml:space="preserve"> (</w:t>
      </w:r>
      <w:r w:rsidR="00773137" w:rsidRPr="00CE79C2">
        <w:rPr>
          <w:rFonts w:eastAsia="Times New Roman" w:cstheme="minorHAnsi"/>
          <w:i/>
          <w:sz w:val="24"/>
          <w:szCs w:val="24"/>
        </w:rPr>
        <w:t>URB309 Provider Toolkit Report</w:t>
      </w:r>
      <w:r w:rsidR="005D5E9C">
        <w:rPr>
          <w:rFonts w:eastAsia="Times New Roman" w:cstheme="minorHAnsi"/>
          <w:i/>
          <w:sz w:val="24"/>
          <w:szCs w:val="24"/>
        </w:rPr>
        <w:t>).</w:t>
      </w:r>
      <w:r w:rsidRPr="00CE79C2">
        <w:rPr>
          <w:rFonts w:eastAsia="Times New Roman" w:cstheme="minorHAnsi"/>
          <w:i/>
          <w:sz w:val="24"/>
          <w:szCs w:val="24"/>
        </w:rPr>
        <w:t xml:space="preserve"> Input into Provider model the compensation assumptions you know of today based on your Chair directives, and we will collectively review with you how this input translates to alignment and what next steps are required.</w:t>
      </w:r>
    </w:p>
    <w:p w14:paraId="29865BCA" w14:textId="2D033E5B" w:rsidR="00FA3CC2" w:rsidRDefault="00FA3CC2" w:rsidP="00AC7E1B">
      <w:pPr>
        <w:numPr>
          <w:ilvl w:val="0"/>
          <w:numId w:val="4"/>
        </w:numPr>
        <w:tabs>
          <w:tab w:val="left" w:pos="972"/>
        </w:tabs>
        <w:overflowPunct w:val="0"/>
        <w:autoSpaceDE w:val="0"/>
        <w:autoSpaceDN w:val="0"/>
        <w:adjustRightInd w:val="0"/>
        <w:spacing w:after="0" w:line="240" w:lineRule="auto"/>
        <w:contextualSpacing/>
        <w:textAlignment w:val="baseline"/>
        <w:rPr>
          <w:rFonts w:eastAsia="Times New Roman" w:cstheme="minorHAnsi"/>
          <w:i/>
          <w:color w:val="FF0000"/>
          <w:sz w:val="24"/>
          <w:szCs w:val="24"/>
        </w:rPr>
      </w:pPr>
      <w:r w:rsidRPr="00FA3CC2">
        <w:rPr>
          <w:rFonts w:eastAsia="Times New Roman" w:cstheme="minorHAnsi"/>
          <w:i/>
          <w:color w:val="FF0000"/>
          <w:sz w:val="24"/>
          <w:szCs w:val="24"/>
        </w:rPr>
        <w:t xml:space="preserve">NEW:  If Provider compensation increases </w:t>
      </w:r>
      <w:r w:rsidR="006A71E6">
        <w:rPr>
          <w:rFonts w:eastAsia="Times New Roman" w:cstheme="minorHAnsi"/>
          <w:i/>
          <w:color w:val="FF0000"/>
          <w:sz w:val="24"/>
          <w:szCs w:val="24"/>
        </w:rPr>
        <w:t xml:space="preserve">are </w:t>
      </w:r>
      <w:r w:rsidRPr="00FA3CC2">
        <w:rPr>
          <w:rFonts w:eastAsia="Times New Roman" w:cstheme="minorHAnsi"/>
          <w:i/>
          <w:color w:val="FF0000"/>
          <w:sz w:val="24"/>
          <w:szCs w:val="24"/>
        </w:rPr>
        <w:t>greater than 3% please provide explanation.</w:t>
      </w:r>
    </w:p>
    <w:p w14:paraId="7FC71730" w14:textId="5ECA3C01" w:rsidR="00FA3CC2" w:rsidRPr="00FA3CC2" w:rsidRDefault="00FA3CC2" w:rsidP="00AC7E1B">
      <w:pPr>
        <w:numPr>
          <w:ilvl w:val="0"/>
          <w:numId w:val="4"/>
        </w:numPr>
        <w:tabs>
          <w:tab w:val="left" w:pos="972"/>
        </w:tabs>
        <w:overflowPunct w:val="0"/>
        <w:autoSpaceDE w:val="0"/>
        <w:autoSpaceDN w:val="0"/>
        <w:adjustRightInd w:val="0"/>
        <w:spacing w:after="0" w:line="240" w:lineRule="auto"/>
        <w:contextualSpacing/>
        <w:textAlignment w:val="baseline"/>
        <w:rPr>
          <w:rFonts w:eastAsia="Times New Roman" w:cstheme="minorHAnsi"/>
          <w:i/>
          <w:color w:val="FF0000"/>
          <w:sz w:val="24"/>
          <w:szCs w:val="24"/>
        </w:rPr>
      </w:pPr>
      <w:r>
        <w:rPr>
          <w:rFonts w:eastAsia="Times New Roman" w:cstheme="minorHAnsi"/>
          <w:i/>
          <w:color w:val="FF0000"/>
          <w:sz w:val="24"/>
          <w:szCs w:val="24"/>
        </w:rPr>
        <w:t xml:space="preserve">NEW:  The wage and salary program has not yet been announced, but for now please include a 3% increase for APPs and Physician Assistants.  Staff wage and salary will be added via a driver when the program has been announced. </w:t>
      </w:r>
    </w:p>
    <w:p w14:paraId="48BE7D1D" w14:textId="77777777" w:rsidR="00356286" w:rsidRPr="00CE79C2" w:rsidRDefault="00356286" w:rsidP="00AC7E1B">
      <w:pPr>
        <w:numPr>
          <w:ilvl w:val="0"/>
          <w:numId w:val="4"/>
        </w:numPr>
        <w:tabs>
          <w:tab w:val="left" w:pos="972"/>
        </w:tabs>
        <w:overflowPunct w:val="0"/>
        <w:autoSpaceDE w:val="0"/>
        <w:autoSpaceDN w:val="0"/>
        <w:adjustRightInd w:val="0"/>
        <w:spacing w:after="0" w:line="240" w:lineRule="auto"/>
        <w:contextualSpacing/>
        <w:textAlignment w:val="baseline"/>
        <w:rPr>
          <w:rFonts w:eastAsia="Times New Roman" w:cstheme="minorHAnsi"/>
          <w:i/>
          <w:sz w:val="24"/>
          <w:szCs w:val="24"/>
        </w:rPr>
      </w:pPr>
      <w:r w:rsidRPr="00CE79C2">
        <w:rPr>
          <w:rFonts w:eastAsia="Times New Roman" w:cstheme="minorHAnsi"/>
          <w:i/>
          <w:sz w:val="24"/>
          <w:szCs w:val="24"/>
        </w:rPr>
        <w:t xml:space="preserve">Ensure that the FTE allocations by FAO align </w:t>
      </w:r>
      <w:r w:rsidR="00537B53" w:rsidRPr="00CE79C2">
        <w:rPr>
          <w:rFonts w:eastAsia="Times New Roman" w:cstheme="minorHAnsi"/>
          <w:i/>
          <w:sz w:val="24"/>
          <w:szCs w:val="24"/>
        </w:rPr>
        <w:t>as much as</w:t>
      </w:r>
      <w:r w:rsidRPr="00CE79C2">
        <w:rPr>
          <w:rFonts w:eastAsia="Times New Roman" w:cstheme="minorHAnsi"/>
          <w:i/>
          <w:sz w:val="24"/>
          <w:szCs w:val="24"/>
        </w:rPr>
        <w:t xml:space="preserve"> possible with the Effort Distribution inputted in View 1</w:t>
      </w:r>
      <w:r w:rsidR="006763A6" w:rsidRPr="00CE79C2">
        <w:rPr>
          <w:rFonts w:eastAsia="Times New Roman" w:cstheme="minorHAnsi"/>
          <w:i/>
          <w:sz w:val="24"/>
          <w:szCs w:val="24"/>
        </w:rPr>
        <w:t>.</w:t>
      </w:r>
    </w:p>
    <w:p w14:paraId="4ED2A843" w14:textId="0FC04610" w:rsidR="00356286" w:rsidRPr="00CE79C2" w:rsidRDefault="006763A6" w:rsidP="00AC7E1B">
      <w:pPr>
        <w:numPr>
          <w:ilvl w:val="0"/>
          <w:numId w:val="4"/>
        </w:numPr>
        <w:tabs>
          <w:tab w:val="left" w:pos="972"/>
        </w:tabs>
        <w:overflowPunct w:val="0"/>
        <w:autoSpaceDE w:val="0"/>
        <w:autoSpaceDN w:val="0"/>
        <w:adjustRightInd w:val="0"/>
        <w:spacing w:after="0" w:line="240" w:lineRule="auto"/>
        <w:contextualSpacing/>
        <w:textAlignment w:val="baseline"/>
        <w:rPr>
          <w:rFonts w:eastAsia="Times New Roman" w:cstheme="minorHAnsi"/>
          <w:i/>
          <w:sz w:val="24"/>
          <w:szCs w:val="24"/>
        </w:rPr>
      </w:pPr>
      <w:r w:rsidRPr="00CE79C2">
        <w:rPr>
          <w:rFonts w:eastAsia="Times New Roman" w:cstheme="minorHAnsi"/>
          <w:i/>
          <w:sz w:val="24"/>
          <w:szCs w:val="24"/>
        </w:rPr>
        <w:t xml:space="preserve">Input incentive compensation at the FAO level. </w:t>
      </w:r>
      <w:r w:rsidR="00CE79C2" w:rsidRPr="00CE79C2">
        <w:rPr>
          <w:rFonts w:eastAsia="Times New Roman" w:cstheme="minorHAnsi"/>
          <w:i/>
          <w:sz w:val="24"/>
          <w:szCs w:val="24"/>
        </w:rPr>
        <w:t xml:space="preserve">The goal is for </w:t>
      </w:r>
      <w:r w:rsidRPr="00CE79C2">
        <w:rPr>
          <w:rFonts w:eastAsia="Times New Roman" w:cstheme="minorHAnsi"/>
          <w:i/>
          <w:sz w:val="24"/>
          <w:szCs w:val="24"/>
        </w:rPr>
        <w:t>the incentive pool for each department and division</w:t>
      </w:r>
      <w:r w:rsidR="00CE79C2" w:rsidRPr="00CE79C2">
        <w:rPr>
          <w:rFonts w:eastAsia="Times New Roman" w:cstheme="minorHAnsi"/>
          <w:i/>
          <w:sz w:val="24"/>
          <w:szCs w:val="24"/>
        </w:rPr>
        <w:t xml:space="preserve"> to</w:t>
      </w:r>
      <w:r w:rsidRPr="00CE79C2">
        <w:rPr>
          <w:rFonts w:eastAsia="Times New Roman" w:cstheme="minorHAnsi"/>
          <w:i/>
          <w:sz w:val="24"/>
          <w:szCs w:val="24"/>
        </w:rPr>
        <w:t xml:space="preserve"> </w:t>
      </w:r>
      <w:r w:rsidR="00CE79C2">
        <w:rPr>
          <w:rFonts w:eastAsia="Times New Roman" w:cstheme="minorHAnsi"/>
          <w:i/>
          <w:sz w:val="24"/>
          <w:szCs w:val="24"/>
        </w:rPr>
        <w:t xml:space="preserve">be </w:t>
      </w:r>
      <w:r w:rsidRPr="00CE79C2">
        <w:rPr>
          <w:rFonts w:eastAsia="Times New Roman" w:cstheme="minorHAnsi"/>
          <w:i/>
          <w:sz w:val="24"/>
          <w:szCs w:val="24"/>
        </w:rPr>
        <w:t>at</w:t>
      </w:r>
      <w:r w:rsidR="00CE79C2">
        <w:rPr>
          <w:rFonts w:eastAsia="Times New Roman" w:cstheme="minorHAnsi"/>
          <w:i/>
          <w:sz w:val="24"/>
          <w:szCs w:val="24"/>
        </w:rPr>
        <w:t xml:space="preserve"> </w:t>
      </w:r>
      <w:r w:rsidRPr="00CE79C2">
        <w:rPr>
          <w:rFonts w:eastAsia="Times New Roman" w:cstheme="minorHAnsi"/>
          <w:i/>
          <w:sz w:val="24"/>
          <w:szCs w:val="24"/>
        </w:rPr>
        <w:t>least 10% of Total Compensation.</w:t>
      </w:r>
    </w:p>
    <w:p w14:paraId="028DED4F" w14:textId="77777777" w:rsidR="006763A6" w:rsidRPr="00CE79C2" w:rsidRDefault="006763A6" w:rsidP="00AC7E1B">
      <w:pPr>
        <w:numPr>
          <w:ilvl w:val="0"/>
          <w:numId w:val="4"/>
        </w:numPr>
        <w:tabs>
          <w:tab w:val="left" w:pos="972"/>
        </w:tabs>
        <w:overflowPunct w:val="0"/>
        <w:autoSpaceDE w:val="0"/>
        <w:autoSpaceDN w:val="0"/>
        <w:adjustRightInd w:val="0"/>
        <w:spacing w:after="0" w:line="240" w:lineRule="auto"/>
        <w:contextualSpacing/>
        <w:textAlignment w:val="baseline"/>
        <w:rPr>
          <w:rFonts w:eastAsia="Times New Roman" w:cstheme="minorHAnsi"/>
          <w:i/>
          <w:sz w:val="24"/>
          <w:szCs w:val="24"/>
        </w:rPr>
      </w:pPr>
      <w:r w:rsidRPr="00CE79C2">
        <w:rPr>
          <w:rFonts w:eastAsia="Times New Roman" w:cstheme="minorHAnsi"/>
          <w:i/>
          <w:sz w:val="24"/>
          <w:szCs w:val="24"/>
        </w:rPr>
        <w:t>Compensation for clinical activity should be budgeted in a way that aligns with the revenue stream generated by that clinical activity</w:t>
      </w:r>
      <w:r w:rsidR="00524E9F" w:rsidRPr="00CE79C2">
        <w:rPr>
          <w:rFonts w:eastAsia="Times New Roman" w:cstheme="minorHAnsi"/>
          <w:i/>
          <w:sz w:val="24"/>
          <w:szCs w:val="24"/>
        </w:rPr>
        <w:t xml:space="preserve"> and the associated effort</w:t>
      </w:r>
      <w:r w:rsidRPr="00CE79C2">
        <w:rPr>
          <w:rFonts w:eastAsia="Times New Roman" w:cstheme="minorHAnsi"/>
          <w:i/>
          <w:sz w:val="24"/>
          <w:szCs w:val="24"/>
        </w:rPr>
        <w:t>.</w:t>
      </w:r>
      <w:r w:rsidR="00524E9F" w:rsidRPr="00CE79C2">
        <w:rPr>
          <w:rFonts w:eastAsia="Times New Roman" w:cstheme="minorHAnsi"/>
          <w:i/>
          <w:sz w:val="24"/>
          <w:szCs w:val="24"/>
        </w:rPr>
        <w:t xml:space="preserve"> This would supersede historical commitments that direct expense to a company not associated with the clinical activity (compensation should be charged to the company/FAO where the professional revenue is recorded).  </w:t>
      </w:r>
    </w:p>
    <w:p w14:paraId="19D59072" w14:textId="2026C768" w:rsidR="002C0425" w:rsidRPr="00CE79C2" w:rsidRDefault="002C0425" w:rsidP="00AC7E1B">
      <w:pPr>
        <w:numPr>
          <w:ilvl w:val="0"/>
          <w:numId w:val="4"/>
        </w:numPr>
        <w:tabs>
          <w:tab w:val="left" w:pos="972"/>
        </w:tabs>
        <w:overflowPunct w:val="0"/>
        <w:autoSpaceDE w:val="0"/>
        <w:autoSpaceDN w:val="0"/>
        <w:adjustRightInd w:val="0"/>
        <w:spacing w:after="0" w:line="240" w:lineRule="auto"/>
        <w:contextualSpacing/>
        <w:textAlignment w:val="baseline"/>
        <w:rPr>
          <w:rFonts w:eastAsia="Times New Roman" w:cstheme="minorHAnsi"/>
          <w:i/>
          <w:sz w:val="24"/>
          <w:szCs w:val="24"/>
        </w:rPr>
      </w:pPr>
      <w:r w:rsidRPr="00CE79C2">
        <w:rPr>
          <w:rFonts w:eastAsia="Times New Roman" w:cstheme="minorHAnsi"/>
          <w:i/>
          <w:sz w:val="24"/>
          <w:szCs w:val="24"/>
        </w:rPr>
        <w:t xml:space="preserve">Any changes from SMH/MFG to SMD or vice versa will need </w:t>
      </w:r>
      <w:r w:rsidR="007E1263" w:rsidRPr="00CE79C2">
        <w:rPr>
          <w:rFonts w:eastAsia="Times New Roman" w:cstheme="minorHAnsi"/>
          <w:i/>
          <w:sz w:val="24"/>
          <w:szCs w:val="24"/>
        </w:rPr>
        <w:t>review by Finance leadership</w:t>
      </w:r>
      <w:r w:rsidRPr="00CE79C2">
        <w:rPr>
          <w:rFonts w:eastAsia="Times New Roman" w:cstheme="minorHAnsi"/>
          <w:i/>
          <w:sz w:val="24"/>
          <w:szCs w:val="24"/>
        </w:rPr>
        <w:t xml:space="preserve">. Transfers between SMH and MFG that follow funds flow do not require additional </w:t>
      </w:r>
      <w:r w:rsidR="008852EB" w:rsidRPr="00CE79C2">
        <w:rPr>
          <w:rFonts w:eastAsia="Times New Roman" w:cstheme="minorHAnsi"/>
          <w:i/>
          <w:sz w:val="24"/>
          <w:szCs w:val="24"/>
        </w:rPr>
        <w:t>review</w:t>
      </w:r>
      <w:r w:rsidRPr="00CE79C2">
        <w:rPr>
          <w:rFonts w:eastAsia="Times New Roman" w:cstheme="minorHAnsi"/>
          <w:i/>
          <w:sz w:val="24"/>
          <w:szCs w:val="24"/>
        </w:rPr>
        <w:t xml:space="preserve">.  </w:t>
      </w:r>
      <w:r w:rsidR="00FA3CC2">
        <w:rPr>
          <w:rFonts w:eastAsia="Times New Roman" w:cstheme="minorHAnsi"/>
          <w:i/>
          <w:sz w:val="24"/>
          <w:szCs w:val="24"/>
        </w:rPr>
        <w:br/>
      </w:r>
      <w:r w:rsidR="00FA3CC2">
        <w:rPr>
          <w:rFonts w:eastAsia="Times New Roman" w:cstheme="minorHAnsi"/>
          <w:i/>
          <w:sz w:val="24"/>
          <w:szCs w:val="24"/>
        </w:rPr>
        <w:lastRenderedPageBreak/>
        <w:br/>
      </w:r>
    </w:p>
    <w:p w14:paraId="3113275B" w14:textId="77777777" w:rsidR="0037117F" w:rsidRPr="00CE79C2" w:rsidRDefault="0037117F" w:rsidP="0037117F">
      <w:pPr>
        <w:tabs>
          <w:tab w:val="left" w:pos="972"/>
        </w:tabs>
        <w:overflowPunct w:val="0"/>
        <w:autoSpaceDE w:val="0"/>
        <w:autoSpaceDN w:val="0"/>
        <w:adjustRightInd w:val="0"/>
        <w:spacing w:after="0" w:line="240" w:lineRule="auto"/>
        <w:ind w:left="1080"/>
        <w:contextualSpacing/>
        <w:textAlignment w:val="baseline"/>
        <w:rPr>
          <w:rFonts w:eastAsia="Times New Roman" w:cstheme="minorHAnsi"/>
          <w:i/>
          <w:sz w:val="24"/>
          <w:szCs w:val="24"/>
        </w:rPr>
      </w:pPr>
    </w:p>
    <w:p w14:paraId="25E44B9F" w14:textId="69EE3473" w:rsidR="0037117F" w:rsidRPr="00CE79C2" w:rsidRDefault="0037117F" w:rsidP="0037117F">
      <w:pPr>
        <w:tabs>
          <w:tab w:val="left" w:pos="972"/>
        </w:tabs>
        <w:overflowPunct w:val="0"/>
        <w:autoSpaceDE w:val="0"/>
        <w:autoSpaceDN w:val="0"/>
        <w:adjustRightInd w:val="0"/>
        <w:spacing w:after="0" w:line="240" w:lineRule="auto"/>
        <w:ind w:left="360"/>
        <w:textAlignment w:val="baseline"/>
        <w:rPr>
          <w:rFonts w:eastAsia="Times New Roman" w:cstheme="minorHAnsi"/>
          <w:b/>
          <w:i/>
          <w:sz w:val="24"/>
          <w:szCs w:val="24"/>
        </w:rPr>
      </w:pPr>
      <w:r w:rsidRPr="00CE79C2">
        <w:rPr>
          <w:rFonts w:eastAsia="Times New Roman" w:cstheme="minorHAnsi"/>
          <w:b/>
          <w:i/>
          <w:sz w:val="24"/>
          <w:szCs w:val="24"/>
        </w:rPr>
        <w:t>Revenue (View 5)</w:t>
      </w:r>
    </w:p>
    <w:p w14:paraId="2944274F" w14:textId="2AEAC49F" w:rsidR="0037117F" w:rsidRPr="007D332E" w:rsidRDefault="0037117F" w:rsidP="0037117F">
      <w:pPr>
        <w:numPr>
          <w:ilvl w:val="0"/>
          <w:numId w:val="5"/>
        </w:numPr>
        <w:tabs>
          <w:tab w:val="left" w:pos="972"/>
        </w:tabs>
        <w:overflowPunct w:val="0"/>
        <w:autoSpaceDE w:val="0"/>
        <w:autoSpaceDN w:val="0"/>
        <w:adjustRightInd w:val="0"/>
        <w:spacing w:after="0" w:line="240" w:lineRule="auto"/>
        <w:contextualSpacing/>
        <w:textAlignment w:val="baseline"/>
        <w:rPr>
          <w:rFonts w:ascii="Times New Roman" w:eastAsia="Times New Roman" w:hAnsi="Times New Roman" w:cs="Times New Roman"/>
          <w:b/>
          <w:bCs/>
          <w:i/>
          <w:iCs/>
          <w:sz w:val="24"/>
          <w:szCs w:val="24"/>
        </w:rPr>
      </w:pPr>
      <w:r w:rsidRPr="007D332E">
        <w:rPr>
          <w:rFonts w:eastAsia="Times New Roman" w:cstheme="minorHAnsi"/>
          <w:i/>
          <w:sz w:val="24"/>
          <w:szCs w:val="24"/>
        </w:rPr>
        <w:t xml:space="preserve">Axiom is loaded with your current July-Nov Net Revenue per </w:t>
      </w:r>
      <w:r w:rsidR="005D5E9C" w:rsidRPr="007D332E">
        <w:rPr>
          <w:rFonts w:eastAsia="Times New Roman" w:cstheme="minorHAnsi"/>
          <w:i/>
          <w:sz w:val="24"/>
          <w:szCs w:val="24"/>
        </w:rPr>
        <w:t xml:space="preserve">2021 CMS </w:t>
      </w:r>
      <w:r w:rsidRPr="007D332E">
        <w:rPr>
          <w:rFonts w:eastAsia="Times New Roman" w:cstheme="minorHAnsi"/>
          <w:i/>
          <w:sz w:val="24"/>
          <w:szCs w:val="24"/>
        </w:rPr>
        <w:t>RVU per provider.  This is locked.  Your divisional Finance Liaison will be working with you to review this number and make modifications as needed.</w:t>
      </w:r>
      <w:r w:rsidR="007D332E" w:rsidRPr="007D332E">
        <w:rPr>
          <w:rFonts w:eastAsia="Times New Roman" w:cstheme="minorHAnsi"/>
          <w:i/>
          <w:sz w:val="24"/>
          <w:szCs w:val="24"/>
        </w:rPr>
        <w:t xml:space="preserve">  </w:t>
      </w:r>
    </w:p>
    <w:p w14:paraId="6B776FE8" w14:textId="77777777" w:rsidR="0034255C" w:rsidRDefault="0037117F" w:rsidP="0037117F">
      <w:pPr>
        <w:tabs>
          <w:tab w:val="left" w:pos="972"/>
        </w:tabs>
        <w:overflowPunct w:val="0"/>
        <w:autoSpaceDE w:val="0"/>
        <w:autoSpaceDN w:val="0"/>
        <w:adjustRightInd w:val="0"/>
        <w:spacing w:after="0" w:line="240" w:lineRule="auto"/>
        <w:textAlignment w:val="baseline"/>
        <w:rPr>
          <w:rFonts w:eastAsia="Times New Roman" w:cstheme="minorHAnsi"/>
          <w:b/>
          <w:i/>
          <w:sz w:val="24"/>
          <w:szCs w:val="24"/>
        </w:rPr>
      </w:pPr>
      <w:r w:rsidRPr="00CE79C2">
        <w:rPr>
          <w:rFonts w:eastAsia="Times New Roman" w:cstheme="minorHAnsi"/>
          <w:b/>
          <w:i/>
          <w:sz w:val="24"/>
          <w:szCs w:val="24"/>
        </w:rPr>
        <w:t xml:space="preserve"> </w:t>
      </w:r>
    </w:p>
    <w:p w14:paraId="36A4D099" w14:textId="44EDA248" w:rsidR="0037117F" w:rsidRPr="00CE79C2" w:rsidRDefault="0037117F" w:rsidP="0037117F">
      <w:pPr>
        <w:tabs>
          <w:tab w:val="left" w:pos="972"/>
        </w:tabs>
        <w:overflowPunct w:val="0"/>
        <w:autoSpaceDE w:val="0"/>
        <w:autoSpaceDN w:val="0"/>
        <w:adjustRightInd w:val="0"/>
        <w:spacing w:after="0" w:line="240" w:lineRule="auto"/>
        <w:textAlignment w:val="baseline"/>
        <w:rPr>
          <w:rFonts w:ascii="Times New Roman" w:eastAsia="Times New Roman" w:hAnsi="Times New Roman" w:cs="Times New Roman"/>
          <w:b/>
          <w:bCs/>
          <w:i/>
          <w:iCs/>
          <w:sz w:val="24"/>
          <w:szCs w:val="24"/>
        </w:rPr>
      </w:pPr>
      <w:r w:rsidRPr="00CE79C2">
        <w:rPr>
          <w:rFonts w:eastAsia="Times New Roman" w:cstheme="minorHAnsi"/>
          <w:b/>
          <w:i/>
          <w:sz w:val="24"/>
          <w:szCs w:val="24"/>
        </w:rPr>
        <w:t xml:space="preserve">    Cases (View</w:t>
      </w:r>
      <w:r w:rsidRPr="00CE79C2">
        <w:rPr>
          <w:rFonts w:ascii="Times New Roman" w:eastAsia="Times New Roman" w:hAnsi="Times New Roman" w:cs="Times New Roman"/>
          <w:b/>
          <w:bCs/>
          <w:i/>
          <w:iCs/>
          <w:sz w:val="24"/>
          <w:szCs w:val="24"/>
        </w:rPr>
        <w:t xml:space="preserve"> 6)</w:t>
      </w:r>
    </w:p>
    <w:p w14:paraId="6BE361AF" w14:textId="6ACE308B" w:rsidR="0037117F" w:rsidRPr="00CE79C2" w:rsidRDefault="0037117F" w:rsidP="0037117F">
      <w:pPr>
        <w:numPr>
          <w:ilvl w:val="0"/>
          <w:numId w:val="7"/>
        </w:numPr>
        <w:overflowPunct w:val="0"/>
        <w:autoSpaceDE w:val="0"/>
        <w:autoSpaceDN w:val="0"/>
        <w:adjustRightInd w:val="0"/>
        <w:spacing w:after="0" w:line="240" w:lineRule="auto"/>
        <w:contextualSpacing/>
        <w:textAlignment w:val="baseline"/>
        <w:rPr>
          <w:rFonts w:ascii="Calibri" w:eastAsia="Times New Roman" w:hAnsi="Calibri" w:cs="Calibri"/>
          <w:i/>
          <w:iCs/>
          <w:sz w:val="24"/>
          <w:szCs w:val="24"/>
        </w:rPr>
      </w:pPr>
      <w:r w:rsidRPr="00CE79C2">
        <w:rPr>
          <w:rFonts w:ascii="Calibri" w:eastAsia="Times New Roman" w:hAnsi="Calibri" w:cs="Calibri"/>
          <w:i/>
          <w:iCs/>
          <w:sz w:val="24"/>
          <w:szCs w:val="24"/>
        </w:rPr>
        <w:t>For inpatient case discharges and operating room cases you will need to input the expected FY2</w:t>
      </w:r>
      <w:r w:rsidR="00B727F2">
        <w:rPr>
          <w:rFonts w:ascii="Calibri" w:eastAsia="Times New Roman" w:hAnsi="Calibri" w:cs="Calibri"/>
          <w:i/>
          <w:iCs/>
          <w:sz w:val="24"/>
          <w:szCs w:val="24"/>
        </w:rPr>
        <w:t>6</w:t>
      </w:r>
      <w:r w:rsidRPr="00CE79C2">
        <w:rPr>
          <w:rFonts w:ascii="Calibri" w:eastAsia="Times New Roman" w:hAnsi="Calibri" w:cs="Calibri"/>
          <w:i/>
          <w:iCs/>
          <w:sz w:val="24"/>
          <w:szCs w:val="24"/>
        </w:rPr>
        <w:t xml:space="preserve"> budget by provider and location.  Incremental cases in Provider Model will be automatically calculated by comparing a straight-line projection of </w:t>
      </w:r>
      <w:r w:rsidR="006763A6" w:rsidRPr="00CE79C2">
        <w:rPr>
          <w:rFonts w:ascii="Calibri" w:eastAsia="Times New Roman" w:hAnsi="Calibri" w:cs="Calibri"/>
          <w:i/>
          <w:iCs/>
          <w:sz w:val="24"/>
          <w:szCs w:val="24"/>
        </w:rPr>
        <w:t>FY2</w:t>
      </w:r>
      <w:r w:rsidR="00B727F2">
        <w:rPr>
          <w:rFonts w:ascii="Calibri" w:eastAsia="Times New Roman" w:hAnsi="Calibri" w:cs="Calibri"/>
          <w:i/>
          <w:iCs/>
          <w:sz w:val="24"/>
          <w:szCs w:val="24"/>
        </w:rPr>
        <w:t>5</w:t>
      </w:r>
      <w:r w:rsidR="006763A6" w:rsidRPr="00CE79C2">
        <w:rPr>
          <w:rFonts w:ascii="Calibri" w:eastAsia="Times New Roman" w:hAnsi="Calibri" w:cs="Calibri"/>
          <w:i/>
          <w:iCs/>
          <w:sz w:val="24"/>
          <w:szCs w:val="24"/>
        </w:rPr>
        <w:t xml:space="preserve"> </w:t>
      </w:r>
      <w:r w:rsidRPr="00CE79C2">
        <w:rPr>
          <w:rFonts w:ascii="Calibri" w:eastAsia="Times New Roman" w:hAnsi="Calibri" w:cs="Calibri"/>
          <w:i/>
          <w:iCs/>
          <w:sz w:val="24"/>
          <w:szCs w:val="24"/>
        </w:rPr>
        <w:t xml:space="preserve">July-November cases with the </w:t>
      </w:r>
      <w:r w:rsidR="006763A6" w:rsidRPr="00CE79C2">
        <w:rPr>
          <w:rFonts w:ascii="Calibri" w:eastAsia="Times New Roman" w:hAnsi="Calibri" w:cs="Calibri"/>
          <w:i/>
          <w:iCs/>
          <w:sz w:val="24"/>
          <w:szCs w:val="24"/>
        </w:rPr>
        <w:t>FY2</w:t>
      </w:r>
      <w:r w:rsidR="00B727F2">
        <w:rPr>
          <w:rFonts w:ascii="Calibri" w:eastAsia="Times New Roman" w:hAnsi="Calibri" w:cs="Calibri"/>
          <w:i/>
          <w:iCs/>
          <w:sz w:val="24"/>
          <w:szCs w:val="24"/>
        </w:rPr>
        <w:t>6</w:t>
      </w:r>
      <w:r w:rsidR="006763A6" w:rsidRPr="00CE79C2">
        <w:rPr>
          <w:rFonts w:ascii="Calibri" w:eastAsia="Times New Roman" w:hAnsi="Calibri" w:cs="Calibri"/>
          <w:i/>
          <w:iCs/>
          <w:sz w:val="24"/>
          <w:szCs w:val="24"/>
        </w:rPr>
        <w:t xml:space="preserve"> </w:t>
      </w:r>
      <w:r w:rsidRPr="00CE79C2">
        <w:rPr>
          <w:rFonts w:ascii="Calibri" w:eastAsia="Times New Roman" w:hAnsi="Calibri" w:cs="Calibri"/>
          <w:i/>
          <w:iCs/>
          <w:sz w:val="24"/>
          <w:szCs w:val="24"/>
        </w:rPr>
        <w:t xml:space="preserve">input budget.  Any budgeted variations in incremental cases (increases or decreases) must have a comment added in the Provider Model.  </w:t>
      </w:r>
    </w:p>
    <w:p w14:paraId="0D276A31" w14:textId="77777777" w:rsidR="008559DE" w:rsidRPr="00CE79C2" w:rsidRDefault="0037117F" w:rsidP="008559DE">
      <w:pPr>
        <w:numPr>
          <w:ilvl w:val="0"/>
          <w:numId w:val="7"/>
        </w:numPr>
        <w:overflowPunct w:val="0"/>
        <w:autoSpaceDE w:val="0"/>
        <w:autoSpaceDN w:val="0"/>
        <w:adjustRightInd w:val="0"/>
        <w:spacing w:after="0" w:line="240" w:lineRule="auto"/>
        <w:contextualSpacing/>
        <w:textAlignment w:val="baseline"/>
        <w:rPr>
          <w:rFonts w:ascii="Calibri" w:eastAsia="Times New Roman" w:hAnsi="Calibri" w:cs="Calibri"/>
          <w:i/>
          <w:iCs/>
          <w:sz w:val="24"/>
          <w:szCs w:val="24"/>
        </w:rPr>
      </w:pPr>
      <w:r w:rsidRPr="00CE79C2">
        <w:rPr>
          <w:rFonts w:ascii="Calibri" w:eastAsia="Times New Roman" w:hAnsi="Calibri" w:cs="Calibri"/>
          <w:i/>
          <w:iCs/>
          <w:sz w:val="24"/>
          <w:szCs w:val="24"/>
        </w:rPr>
        <w:t xml:space="preserve">An operating room case is a surgical encounter performed in the operating room that incorporates one in room time and one out of room time.  The case is “credited” to the primary surgeon in the case and are extracted from OpTime (eRecord OR application).  An inpatient case is when a patient comes from home, IP unit or ED and is admitted to IP unit for more than one night stay.  An outpatient case is when a patient comes from home and goes home same day or is admitted for 23-hour observation.  </w:t>
      </w:r>
    </w:p>
    <w:p w14:paraId="6FC81C5B" w14:textId="59015CFF" w:rsidR="006A358A" w:rsidRPr="0034255C" w:rsidRDefault="006C7683" w:rsidP="0034255C">
      <w:pPr>
        <w:numPr>
          <w:ilvl w:val="0"/>
          <w:numId w:val="7"/>
        </w:numPr>
        <w:overflowPunct w:val="0"/>
        <w:autoSpaceDE w:val="0"/>
        <w:autoSpaceDN w:val="0"/>
        <w:adjustRightInd w:val="0"/>
        <w:spacing w:after="0" w:line="240" w:lineRule="auto"/>
        <w:contextualSpacing/>
        <w:textAlignment w:val="baseline"/>
        <w:rPr>
          <w:rFonts w:ascii="Calibri" w:eastAsia="Times New Roman" w:hAnsi="Calibri" w:cs="Calibri"/>
          <w:i/>
          <w:iCs/>
          <w:sz w:val="24"/>
          <w:szCs w:val="24"/>
        </w:rPr>
      </w:pPr>
      <w:r w:rsidRPr="00CE79C2">
        <w:rPr>
          <w:rFonts w:ascii="Calibri" w:hAnsi="Calibri" w:cs="Calibri"/>
          <w:i/>
          <w:iCs/>
          <w:sz w:val="24"/>
          <w:szCs w:val="24"/>
        </w:rPr>
        <w:t>An inpatient case discharge is an inpatient encounter with a patient discharge.  The case is “credited” to the attending physician at discharge.  Cases are captured in EPIC and reported out of McKesson.  An additional budget questionnaire will be distributed during the budget process for completion to better understand the changes in budgeted discharges.  Please note that for inpatient case discharges some specialties are not budgeted/reported down to the provider level (as seen on the MSR Report).  As a result, inpatient case discharges within the following specialties should be excluded from individual provider case budgets. To budget these specialties as a group please work directly with decision support.</w:t>
      </w:r>
    </w:p>
    <w:p w14:paraId="4EA8415B" w14:textId="77777777" w:rsidR="0034255C" w:rsidRPr="0034255C" w:rsidRDefault="0034255C" w:rsidP="0034255C">
      <w:pPr>
        <w:overflowPunct w:val="0"/>
        <w:autoSpaceDE w:val="0"/>
        <w:autoSpaceDN w:val="0"/>
        <w:adjustRightInd w:val="0"/>
        <w:spacing w:after="0" w:line="240" w:lineRule="auto"/>
        <w:ind w:left="1080"/>
        <w:contextualSpacing/>
        <w:textAlignment w:val="baseline"/>
        <w:rPr>
          <w:rFonts w:ascii="Calibri" w:eastAsia="Times New Roman" w:hAnsi="Calibri" w:cs="Calibri"/>
          <w:i/>
          <w:iCs/>
          <w:sz w:val="24"/>
          <w:szCs w:val="24"/>
        </w:rPr>
      </w:pPr>
    </w:p>
    <w:p w14:paraId="6AF4CD4F" w14:textId="77777777" w:rsidR="0037117F" w:rsidRPr="00CE79C2" w:rsidRDefault="006A358A" w:rsidP="006A358A">
      <w:pPr>
        <w:tabs>
          <w:tab w:val="left" w:pos="972"/>
        </w:tabs>
        <w:overflowPunct w:val="0"/>
        <w:autoSpaceDE w:val="0"/>
        <w:autoSpaceDN w:val="0"/>
        <w:adjustRightInd w:val="0"/>
        <w:spacing w:after="0" w:line="240" w:lineRule="auto"/>
        <w:jc w:val="center"/>
        <w:textAlignment w:val="baseline"/>
        <w:rPr>
          <w:rFonts w:eastAsia="Times New Roman" w:cstheme="minorHAnsi"/>
          <w:b/>
          <w:i/>
          <w:sz w:val="24"/>
          <w:szCs w:val="24"/>
        </w:rPr>
      </w:pPr>
      <w:r w:rsidRPr="00CE79C2">
        <w:rPr>
          <w:noProof/>
        </w:rPr>
        <w:drawing>
          <wp:inline distT="0" distB="0" distL="0" distR="0" wp14:anchorId="79A27C97" wp14:editId="6992ABA2">
            <wp:extent cx="2952750" cy="26860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52750" cy="2686050"/>
                    </a:xfrm>
                    <a:prstGeom prst="rect">
                      <a:avLst/>
                    </a:prstGeom>
                  </pic:spPr>
                </pic:pic>
              </a:graphicData>
            </a:graphic>
          </wp:inline>
        </w:drawing>
      </w:r>
    </w:p>
    <w:p w14:paraId="1BFCF879" w14:textId="77777777" w:rsidR="0034255C" w:rsidRDefault="0034255C" w:rsidP="0037117F">
      <w:pPr>
        <w:tabs>
          <w:tab w:val="left" w:pos="972"/>
        </w:tabs>
        <w:overflowPunct w:val="0"/>
        <w:autoSpaceDE w:val="0"/>
        <w:autoSpaceDN w:val="0"/>
        <w:adjustRightInd w:val="0"/>
        <w:spacing w:after="0" w:line="240" w:lineRule="auto"/>
        <w:textAlignment w:val="baseline"/>
        <w:rPr>
          <w:rFonts w:eastAsia="Times New Roman" w:cstheme="minorHAnsi"/>
          <w:b/>
          <w:i/>
          <w:sz w:val="24"/>
          <w:szCs w:val="24"/>
        </w:rPr>
      </w:pPr>
    </w:p>
    <w:p w14:paraId="4C755273" w14:textId="245996DA" w:rsidR="0037117F" w:rsidRPr="00CE79C2" w:rsidRDefault="0037117F" w:rsidP="0037117F">
      <w:pPr>
        <w:tabs>
          <w:tab w:val="left" w:pos="972"/>
        </w:tabs>
        <w:overflowPunct w:val="0"/>
        <w:autoSpaceDE w:val="0"/>
        <w:autoSpaceDN w:val="0"/>
        <w:adjustRightInd w:val="0"/>
        <w:spacing w:after="0" w:line="240" w:lineRule="auto"/>
        <w:textAlignment w:val="baseline"/>
        <w:rPr>
          <w:rFonts w:eastAsia="Times New Roman" w:cstheme="minorHAnsi"/>
          <w:b/>
          <w:i/>
          <w:sz w:val="24"/>
          <w:szCs w:val="24"/>
        </w:rPr>
      </w:pPr>
      <w:r w:rsidRPr="00CE79C2">
        <w:rPr>
          <w:rFonts w:eastAsia="Times New Roman" w:cstheme="minorHAnsi"/>
          <w:b/>
          <w:i/>
          <w:sz w:val="24"/>
          <w:szCs w:val="24"/>
        </w:rPr>
        <w:t>ALL Other activity in your provider file</w:t>
      </w:r>
    </w:p>
    <w:p w14:paraId="4BE8DE44" w14:textId="75EE5A5E" w:rsidR="00AC7E1B" w:rsidRPr="00CE79C2" w:rsidRDefault="0037117F" w:rsidP="00AC7E1B">
      <w:pPr>
        <w:numPr>
          <w:ilvl w:val="0"/>
          <w:numId w:val="7"/>
        </w:numPr>
        <w:overflowPunct w:val="0"/>
        <w:autoSpaceDE w:val="0"/>
        <w:autoSpaceDN w:val="0"/>
        <w:adjustRightInd w:val="0"/>
        <w:spacing w:after="0" w:line="240" w:lineRule="auto"/>
        <w:contextualSpacing/>
        <w:textAlignment w:val="baseline"/>
        <w:rPr>
          <w:rFonts w:ascii="Calibri" w:eastAsia="Times New Roman" w:hAnsi="Calibri" w:cs="Calibri"/>
          <w:i/>
          <w:iCs/>
          <w:sz w:val="24"/>
          <w:szCs w:val="24"/>
        </w:rPr>
      </w:pPr>
      <w:r w:rsidRPr="00CE79C2">
        <w:rPr>
          <w:rFonts w:ascii="Calibri" w:eastAsia="Times New Roman" w:hAnsi="Calibri" w:cs="Calibri"/>
          <w:i/>
          <w:iCs/>
          <w:sz w:val="24"/>
          <w:szCs w:val="24"/>
        </w:rPr>
        <w:t xml:space="preserve">Keep in mind that the provider model is based on Billing Provider.  Since the implementation of EPIC, </w:t>
      </w:r>
      <w:proofErr w:type="gramStart"/>
      <w:r w:rsidRPr="00CE79C2">
        <w:rPr>
          <w:rFonts w:ascii="Calibri" w:eastAsia="Times New Roman" w:hAnsi="Calibri" w:cs="Calibri"/>
          <w:i/>
          <w:iCs/>
          <w:sz w:val="24"/>
          <w:szCs w:val="24"/>
        </w:rPr>
        <w:t>the majority of</w:t>
      </w:r>
      <w:proofErr w:type="gramEnd"/>
      <w:r w:rsidRPr="00CE79C2">
        <w:rPr>
          <w:rFonts w:ascii="Calibri" w:eastAsia="Times New Roman" w:hAnsi="Calibri" w:cs="Calibri"/>
          <w:i/>
          <w:iCs/>
          <w:sz w:val="24"/>
          <w:szCs w:val="24"/>
        </w:rPr>
        <w:t xml:space="preserve"> Billing providers are Physician or APPs but on </w:t>
      </w:r>
      <w:r w:rsidRPr="00CE79C2">
        <w:rPr>
          <w:rFonts w:ascii="Calibri" w:eastAsia="Times New Roman" w:hAnsi="Calibri" w:cs="Calibri"/>
          <w:i/>
          <w:iCs/>
          <w:sz w:val="24"/>
          <w:szCs w:val="24"/>
        </w:rPr>
        <w:lastRenderedPageBreak/>
        <w:t>occasion a wRVU or revenue may be attributed to a resident, fellow or other health care provider.  This activity will appear on the All Other Report (URB308).</w:t>
      </w:r>
      <w:r w:rsidR="00CF2E2A" w:rsidRPr="00CE79C2">
        <w:rPr>
          <w:rFonts w:ascii="Calibri" w:eastAsia="Times New Roman" w:hAnsi="Calibri" w:cs="Calibri"/>
          <w:i/>
          <w:iCs/>
          <w:sz w:val="24"/>
          <w:szCs w:val="24"/>
        </w:rPr>
        <w:t xml:space="preserve">  Also</w:t>
      </w:r>
      <w:r w:rsidR="00BB7AB2">
        <w:rPr>
          <w:rFonts w:ascii="Calibri" w:eastAsia="Times New Roman" w:hAnsi="Calibri" w:cs="Calibri"/>
          <w:i/>
          <w:iCs/>
          <w:sz w:val="24"/>
          <w:szCs w:val="24"/>
        </w:rPr>
        <w:t>,</w:t>
      </w:r>
      <w:r w:rsidR="00CF2E2A" w:rsidRPr="00CE79C2">
        <w:rPr>
          <w:rFonts w:ascii="Calibri" w:eastAsia="Times New Roman" w:hAnsi="Calibri" w:cs="Calibri"/>
          <w:i/>
          <w:iCs/>
          <w:sz w:val="24"/>
          <w:szCs w:val="24"/>
        </w:rPr>
        <w:t xml:space="preserve"> if any providers have left their activity will also appear in the All Other Report.</w:t>
      </w:r>
    </w:p>
    <w:p w14:paraId="3FA3C466" w14:textId="5D25C904" w:rsidR="0037117F" w:rsidRDefault="0037117F" w:rsidP="00AC7E1B">
      <w:pPr>
        <w:numPr>
          <w:ilvl w:val="0"/>
          <w:numId w:val="7"/>
        </w:numPr>
        <w:overflowPunct w:val="0"/>
        <w:autoSpaceDE w:val="0"/>
        <w:autoSpaceDN w:val="0"/>
        <w:adjustRightInd w:val="0"/>
        <w:spacing w:after="0" w:line="240" w:lineRule="auto"/>
        <w:contextualSpacing/>
        <w:textAlignment w:val="baseline"/>
        <w:rPr>
          <w:rFonts w:ascii="Calibri" w:eastAsia="Times New Roman" w:hAnsi="Calibri" w:cs="Calibri"/>
          <w:i/>
          <w:iCs/>
          <w:sz w:val="24"/>
          <w:szCs w:val="24"/>
        </w:rPr>
      </w:pPr>
      <w:r w:rsidRPr="00CE79C2">
        <w:rPr>
          <w:rFonts w:ascii="Calibri" w:eastAsia="Times New Roman" w:hAnsi="Calibri" w:cs="Calibri"/>
          <w:i/>
          <w:iCs/>
          <w:sz w:val="24"/>
          <w:szCs w:val="24"/>
        </w:rPr>
        <w:t>Please contact your finance liaison for help in how to budget this additional revenue.</w:t>
      </w:r>
      <w:r w:rsidRPr="00CE79C2">
        <w:rPr>
          <w:rFonts w:ascii="Calibri" w:eastAsia="Times New Roman" w:hAnsi="Calibri" w:cs="Calibri"/>
          <w:i/>
          <w:iCs/>
          <w:sz w:val="24"/>
          <w:szCs w:val="24"/>
        </w:rPr>
        <w:br/>
      </w:r>
    </w:p>
    <w:p w14:paraId="3CAFB3AB" w14:textId="77777777" w:rsidR="0034255C" w:rsidRDefault="0034255C" w:rsidP="0037117F">
      <w:pPr>
        <w:overflowPunct w:val="0"/>
        <w:autoSpaceDE w:val="0"/>
        <w:autoSpaceDN w:val="0"/>
        <w:adjustRightInd w:val="0"/>
        <w:spacing w:after="0" w:line="240" w:lineRule="auto"/>
        <w:textAlignment w:val="baseline"/>
        <w:rPr>
          <w:rFonts w:eastAsia="Times New Roman" w:cstheme="minorHAnsi"/>
          <w:b/>
          <w:sz w:val="24"/>
          <w:szCs w:val="24"/>
        </w:rPr>
      </w:pPr>
    </w:p>
    <w:p w14:paraId="08B253E6" w14:textId="577EF5FC" w:rsidR="0037117F" w:rsidRPr="00CE79C2" w:rsidRDefault="0037117F" w:rsidP="0037117F">
      <w:pPr>
        <w:overflowPunct w:val="0"/>
        <w:autoSpaceDE w:val="0"/>
        <w:autoSpaceDN w:val="0"/>
        <w:adjustRightInd w:val="0"/>
        <w:spacing w:after="0" w:line="240" w:lineRule="auto"/>
        <w:textAlignment w:val="baseline"/>
        <w:rPr>
          <w:rFonts w:eastAsia="Times New Roman" w:cstheme="minorHAnsi"/>
          <w:b/>
          <w:sz w:val="24"/>
          <w:szCs w:val="24"/>
        </w:rPr>
      </w:pPr>
      <w:r w:rsidRPr="00CE79C2">
        <w:rPr>
          <w:rFonts w:eastAsia="Times New Roman" w:cstheme="minorHAnsi"/>
          <w:b/>
          <w:sz w:val="24"/>
          <w:szCs w:val="24"/>
        </w:rPr>
        <w:t>Running Reports</w:t>
      </w:r>
    </w:p>
    <w:p w14:paraId="3C496609" w14:textId="77777777" w:rsidR="0037117F" w:rsidRPr="00CE79C2" w:rsidRDefault="0037117F" w:rsidP="0037117F">
      <w:pPr>
        <w:numPr>
          <w:ilvl w:val="0"/>
          <w:numId w:val="1"/>
        </w:numPr>
        <w:overflowPunct w:val="0"/>
        <w:autoSpaceDE w:val="0"/>
        <w:autoSpaceDN w:val="0"/>
        <w:adjustRightInd w:val="0"/>
        <w:spacing w:after="0" w:line="240" w:lineRule="auto"/>
        <w:contextualSpacing/>
        <w:textAlignment w:val="baseline"/>
        <w:rPr>
          <w:rFonts w:eastAsia="Times New Roman" w:cstheme="minorHAnsi"/>
          <w:i/>
          <w:sz w:val="24"/>
          <w:szCs w:val="24"/>
        </w:rPr>
      </w:pPr>
      <w:r w:rsidRPr="00CE79C2">
        <w:rPr>
          <w:rFonts w:eastAsia="Times New Roman" w:cstheme="minorHAnsi"/>
          <w:i/>
          <w:sz w:val="24"/>
          <w:szCs w:val="24"/>
        </w:rPr>
        <w:t>There are several reports available to use to reconcile and review what has been loaded into Axiom.  The provider model is organized primarily by HR Division Department, so within that model you will have activity that crosses Companies an</w:t>
      </w:r>
      <w:r w:rsidR="00507AC9" w:rsidRPr="00CE79C2">
        <w:rPr>
          <w:rFonts w:eastAsia="Times New Roman" w:cstheme="minorHAnsi"/>
          <w:i/>
          <w:sz w:val="24"/>
          <w:szCs w:val="24"/>
        </w:rPr>
        <w:t>d Cost Center H</w:t>
      </w:r>
      <w:r w:rsidRPr="00CE79C2">
        <w:rPr>
          <w:rFonts w:eastAsia="Times New Roman" w:cstheme="minorHAnsi"/>
          <w:i/>
          <w:sz w:val="24"/>
          <w:szCs w:val="24"/>
        </w:rPr>
        <w:t>i</w:t>
      </w:r>
      <w:r w:rsidR="00507AC9" w:rsidRPr="00CE79C2">
        <w:rPr>
          <w:rFonts w:eastAsia="Times New Roman" w:cstheme="minorHAnsi"/>
          <w:i/>
          <w:sz w:val="24"/>
          <w:szCs w:val="24"/>
        </w:rPr>
        <w:t>e</w:t>
      </w:r>
      <w:r w:rsidRPr="00CE79C2">
        <w:rPr>
          <w:rFonts w:eastAsia="Times New Roman" w:cstheme="minorHAnsi"/>
          <w:i/>
          <w:sz w:val="24"/>
          <w:szCs w:val="24"/>
        </w:rPr>
        <w:t xml:space="preserve">rarchies.      </w:t>
      </w:r>
    </w:p>
    <w:p w14:paraId="66DC4C0C" w14:textId="77777777" w:rsidR="0037117F" w:rsidRPr="00CE79C2" w:rsidRDefault="0037117F" w:rsidP="0037117F">
      <w:pPr>
        <w:numPr>
          <w:ilvl w:val="0"/>
          <w:numId w:val="1"/>
        </w:numPr>
        <w:overflowPunct w:val="0"/>
        <w:autoSpaceDE w:val="0"/>
        <w:autoSpaceDN w:val="0"/>
        <w:adjustRightInd w:val="0"/>
        <w:spacing w:after="0" w:line="240" w:lineRule="auto"/>
        <w:contextualSpacing/>
        <w:textAlignment w:val="baseline"/>
        <w:rPr>
          <w:rFonts w:eastAsia="Times New Roman" w:cstheme="minorHAnsi"/>
          <w:i/>
          <w:sz w:val="24"/>
          <w:szCs w:val="24"/>
        </w:rPr>
      </w:pPr>
      <w:r w:rsidRPr="00CE79C2">
        <w:rPr>
          <w:rFonts w:eastAsia="Times New Roman" w:cstheme="minorHAnsi"/>
          <w:i/>
          <w:sz w:val="24"/>
          <w:szCs w:val="24"/>
        </w:rPr>
        <w:t>Reports can help you review if the data makes sense – comparing history, YTD, and budgeted activity.</w:t>
      </w:r>
    </w:p>
    <w:p w14:paraId="2C5E4DF7" w14:textId="77777777" w:rsidR="0037117F" w:rsidRPr="00CE79C2" w:rsidRDefault="0037117F" w:rsidP="0037117F">
      <w:pPr>
        <w:numPr>
          <w:ilvl w:val="0"/>
          <w:numId w:val="1"/>
        </w:numPr>
        <w:overflowPunct w:val="0"/>
        <w:autoSpaceDE w:val="0"/>
        <w:autoSpaceDN w:val="0"/>
        <w:adjustRightInd w:val="0"/>
        <w:spacing w:after="0" w:line="240" w:lineRule="auto"/>
        <w:contextualSpacing/>
        <w:textAlignment w:val="baseline"/>
        <w:rPr>
          <w:rFonts w:eastAsia="Times New Roman" w:cstheme="minorHAnsi"/>
          <w:i/>
          <w:sz w:val="24"/>
          <w:szCs w:val="24"/>
        </w:rPr>
      </w:pPr>
      <w:r w:rsidRPr="00CE79C2">
        <w:rPr>
          <w:rFonts w:eastAsia="Times New Roman" w:cstheme="minorHAnsi"/>
          <w:i/>
          <w:sz w:val="24"/>
          <w:szCs w:val="24"/>
        </w:rPr>
        <w:t>Data can be sliced by using the Refresh button in the tool bar and selecting Provider Group, Company, Cost Center or Hi</w:t>
      </w:r>
      <w:r w:rsidR="00507AC9" w:rsidRPr="00CE79C2">
        <w:rPr>
          <w:rFonts w:eastAsia="Times New Roman" w:cstheme="minorHAnsi"/>
          <w:i/>
          <w:sz w:val="24"/>
          <w:szCs w:val="24"/>
        </w:rPr>
        <w:t>e</w:t>
      </w:r>
      <w:r w:rsidRPr="00CE79C2">
        <w:rPr>
          <w:rFonts w:eastAsia="Times New Roman" w:cstheme="minorHAnsi"/>
          <w:i/>
          <w:sz w:val="24"/>
          <w:szCs w:val="24"/>
        </w:rPr>
        <w:t xml:space="preserve">rarchy, or FAO.  </w:t>
      </w:r>
    </w:p>
    <w:p w14:paraId="38E1BBE5" w14:textId="6111FD04" w:rsidR="0037117F" w:rsidRPr="00CE79C2" w:rsidRDefault="0037117F" w:rsidP="0037117F">
      <w:pPr>
        <w:numPr>
          <w:ilvl w:val="0"/>
          <w:numId w:val="1"/>
        </w:numPr>
        <w:overflowPunct w:val="0"/>
        <w:autoSpaceDE w:val="0"/>
        <w:autoSpaceDN w:val="0"/>
        <w:adjustRightInd w:val="0"/>
        <w:spacing w:after="0" w:line="240" w:lineRule="auto"/>
        <w:contextualSpacing/>
        <w:textAlignment w:val="baseline"/>
        <w:rPr>
          <w:rFonts w:eastAsia="Times New Roman" w:cstheme="minorHAnsi"/>
          <w:i/>
          <w:sz w:val="24"/>
          <w:szCs w:val="24"/>
        </w:rPr>
      </w:pPr>
      <w:r w:rsidRPr="00CE79C2">
        <w:rPr>
          <w:rFonts w:eastAsia="Times New Roman" w:cstheme="minorHAnsi"/>
          <w:i/>
          <w:sz w:val="24"/>
          <w:szCs w:val="24"/>
        </w:rPr>
        <w:t>Additionally</w:t>
      </w:r>
      <w:r w:rsidR="006A71E6">
        <w:rPr>
          <w:rFonts w:eastAsia="Times New Roman" w:cstheme="minorHAnsi"/>
          <w:i/>
          <w:sz w:val="24"/>
          <w:szCs w:val="24"/>
        </w:rPr>
        <w:t>,</w:t>
      </w:r>
      <w:r w:rsidRPr="00CE79C2">
        <w:rPr>
          <w:rFonts w:eastAsia="Times New Roman" w:cstheme="minorHAnsi"/>
          <w:i/>
          <w:sz w:val="24"/>
          <w:szCs w:val="24"/>
        </w:rPr>
        <w:t xml:space="preserve"> data can be narrowed down by using the Change View.  For example</w:t>
      </w:r>
      <w:r w:rsidR="006A71E6">
        <w:rPr>
          <w:rFonts w:eastAsia="Times New Roman" w:cstheme="minorHAnsi"/>
          <w:i/>
          <w:sz w:val="24"/>
          <w:szCs w:val="24"/>
        </w:rPr>
        <w:t>,</w:t>
      </w:r>
      <w:r w:rsidRPr="00CE79C2">
        <w:rPr>
          <w:rFonts w:eastAsia="Times New Roman" w:cstheme="minorHAnsi"/>
          <w:i/>
          <w:sz w:val="24"/>
          <w:szCs w:val="24"/>
        </w:rPr>
        <w:t xml:space="preserve"> if you only want to look at wRVU’s, there is a view available.</w:t>
      </w:r>
    </w:p>
    <w:p w14:paraId="46F21EC0" w14:textId="77777777" w:rsidR="0037117F" w:rsidRPr="00CE79C2" w:rsidRDefault="0037117F" w:rsidP="0037117F">
      <w:pPr>
        <w:numPr>
          <w:ilvl w:val="0"/>
          <w:numId w:val="1"/>
        </w:numPr>
        <w:overflowPunct w:val="0"/>
        <w:autoSpaceDE w:val="0"/>
        <w:autoSpaceDN w:val="0"/>
        <w:adjustRightInd w:val="0"/>
        <w:spacing w:after="0" w:line="240" w:lineRule="auto"/>
        <w:contextualSpacing/>
        <w:textAlignment w:val="baseline"/>
        <w:rPr>
          <w:rFonts w:eastAsia="Times New Roman" w:cstheme="minorHAnsi"/>
          <w:i/>
          <w:sz w:val="24"/>
          <w:szCs w:val="24"/>
        </w:rPr>
      </w:pPr>
      <w:r w:rsidRPr="00CE79C2">
        <w:rPr>
          <w:rFonts w:eastAsia="Times New Roman" w:cstheme="minorHAnsi"/>
          <w:i/>
          <w:sz w:val="24"/>
          <w:szCs w:val="24"/>
        </w:rPr>
        <w:t>Please reach out to any Finance Liaison for help regarding reporting.  Listed below are the recommended reports to run and review:</w:t>
      </w:r>
    </w:p>
    <w:p w14:paraId="51928E6E" w14:textId="77777777" w:rsidR="0037117F" w:rsidRPr="0037117F" w:rsidRDefault="0037117F" w:rsidP="0037117F">
      <w:pPr>
        <w:overflowPunct w:val="0"/>
        <w:autoSpaceDE w:val="0"/>
        <w:autoSpaceDN w:val="0"/>
        <w:adjustRightInd w:val="0"/>
        <w:spacing w:after="0" w:line="240" w:lineRule="auto"/>
        <w:ind w:left="1080"/>
        <w:contextualSpacing/>
        <w:textAlignment w:val="baseline"/>
        <w:rPr>
          <w:rFonts w:eastAsia="Times New Roman" w:cstheme="minorHAnsi"/>
          <w:i/>
          <w:sz w:val="24"/>
          <w:szCs w:val="24"/>
        </w:rPr>
      </w:pPr>
    </w:p>
    <w:p w14:paraId="7E6EF443" w14:textId="77777777" w:rsidR="0037117F" w:rsidRPr="0037117F" w:rsidRDefault="0037117F" w:rsidP="0037117F">
      <w:pPr>
        <w:numPr>
          <w:ilvl w:val="1"/>
          <w:numId w:val="1"/>
        </w:numPr>
        <w:overflowPunct w:val="0"/>
        <w:autoSpaceDE w:val="0"/>
        <w:autoSpaceDN w:val="0"/>
        <w:adjustRightInd w:val="0"/>
        <w:spacing w:after="0" w:line="240" w:lineRule="auto"/>
        <w:contextualSpacing/>
        <w:textAlignment w:val="baseline"/>
        <w:rPr>
          <w:rFonts w:eastAsia="Times New Roman" w:cstheme="minorHAnsi"/>
          <w:i/>
          <w:color w:val="1F497D" w:themeColor="text2"/>
          <w:sz w:val="24"/>
          <w:szCs w:val="24"/>
        </w:rPr>
      </w:pPr>
      <w:r w:rsidRPr="0037117F">
        <w:rPr>
          <w:rFonts w:eastAsia="Times New Roman" w:cstheme="minorHAnsi"/>
          <w:i/>
          <w:color w:val="1F497D" w:themeColor="text2"/>
          <w:sz w:val="24"/>
          <w:szCs w:val="24"/>
        </w:rPr>
        <w:t>URB301 List of Providers</w:t>
      </w:r>
    </w:p>
    <w:p w14:paraId="019DBA89" w14:textId="77777777" w:rsidR="0037117F" w:rsidRPr="0037117F" w:rsidRDefault="0037117F" w:rsidP="0037117F">
      <w:pPr>
        <w:numPr>
          <w:ilvl w:val="1"/>
          <w:numId w:val="1"/>
        </w:numPr>
        <w:overflowPunct w:val="0"/>
        <w:autoSpaceDE w:val="0"/>
        <w:autoSpaceDN w:val="0"/>
        <w:adjustRightInd w:val="0"/>
        <w:spacing w:after="0" w:line="240" w:lineRule="auto"/>
        <w:contextualSpacing/>
        <w:textAlignment w:val="baseline"/>
        <w:rPr>
          <w:rFonts w:eastAsia="Times New Roman" w:cstheme="minorHAnsi"/>
          <w:i/>
          <w:color w:val="1F497D" w:themeColor="text2"/>
          <w:sz w:val="24"/>
          <w:szCs w:val="24"/>
        </w:rPr>
      </w:pPr>
      <w:r w:rsidRPr="0037117F">
        <w:rPr>
          <w:rFonts w:eastAsia="Times New Roman" w:cstheme="minorHAnsi"/>
          <w:i/>
          <w:color w:val="1F497D" w:themeColor="text2"/>
          <w:sz w:val="24"/>
          <w:szCs w:val="24"/>
        </w:rPr>
        <w:t>URB303 Provider Budget Summary by FAO – multiple views accessible through Change View</w:t>
      </w:r>
    </w:p>
    <w:p w14:paraId="1B09C78E" w14:textId="77777777" w:rsidR="0037117F" w:rsidRPr="0037117F" w:rsidRDefault="0037117F" w:rsidP="0037117F">
      <w:pPr>
        <w:numPr>
          <w:ilvl w:val="1"/>
          <w:numId w:val="1"/>
        </w:numPr>
        <w:overflowPunct w:val="0"/>
        <w:autoSpaceDE w:val="0"/>
        <w:autoSpaceDN w:val="0"/>
        <w:adjustRightInd w:val="0"/>
        <w:spacing w:after="0" w:line="240" w:lineRule="auto"/>
        <w:contextualSpacing/>
        <w:textAlignment w:val="baseline"/>
        <w:rPr>
          <w:rFonts w:eastAsia="Times New Roman" w:cstheme="minorHAnsi"/>
          <w:i/>
          <w:color w:val="1F497D" w:themeColor="text2"/>
          <w:sz w:val="24"/>
          <w:szCs w:val="24"/>
        </w:rPr>
      </w:pPr>
      <w:r w:rsidRPr="0037117F">
        <w:rPr>
          <w:rFonts w:eastAsia="Times New Roman" w:cstheme="minorHAnsi"/>
          <w:i/>
          <w:color w:val="1F497D" w:themeColor="text2"/>
          <w:sz w:val="24"/>
          <w:szCs w:val="24"/>
        </w:rPr>
        <w:t>URB304 Provider Budget Summary by Provider – multiple views through Change View</w:t>
      </w:r>
    </w:p>
    <w:p w14:paraId="61394563" w14:textId="77777777" w:rsidR="0037117F" w:rsidRPr="0037117F" w:rsidRDefault="0037117F" w:rsidP="0037117F">
      <w:pPr>
        <w:numPr>
          <w:ilvl w:val="1"/>
          <w:numId w:val="1"/>
        </w:numPr>
        <w:overflowPunct w:val="0"/>
        <w:autoSpaceDE w:val="0"/>
        <w:autoSpaceDN w:val="0"/>
        <w:adjustRightInd w:val="0"/>
        <w:spacing w:after="0" w:line="240" w:lineRule="auto"/>
        <w:contextualSpacing/>
        <w:textAlignment w:val="baseline"/>
        <w:rPr>
          <w:rFonts w:eastAsia="Times New Roman" w:cstheme="minorHAnsi"/>
          <w:i/>
          <w:color w:val="1F497D" w:themeColor="text2"/>
          <w:sz w:val="24"/>
          <w:szCs w:val="24"/>
        </w:rPr>
      </w:pPr>
      <w:r w:rsidRPr="0037117F">
        <w:rPr>
          <w:rFonts w:eastAsia="Times New Roman" w:cstheme="minorHAnsi"/>
          <w:i/>
          <w:color w:val="1F497D" w:themeColor="text2"/>
          <w:sz w:val="24"/>
          <w:szCs w:val="24"/>
        </w:rPr>
        <w:t>URB306 Case Budget by Provider</w:t>
      </w:r>
    </w:p>
    <w:p w14:paraId="6D27D226" w14:textId="77777777" w:rsidR="0037117F" w:rsidRPr="0037117F" w:rsidRDefault="0037117F" w:rsidP="0037117F">
      <w:pPr>
        <w:numPr>
          <w:ilvl w:val="1"/>
          <w:numId w:val="1"/>
        </w:numPr>
        <w:overflowPunct w:val="0"/>
        <w:autoSpaceDE w:val="0"/>
        <w:autoSpaceDN w:val="0"/>
        <w:adjustRightInd w:val="0"/>
        <w:spacing w:after="0" w:line="240" w:lineRule="auto"/>
        <w:contextualSpacing/>
        <w:textAlignment w:val="baseline"/>
        <w:rPr>
          <w:rFonts w:eastAsia="Times New Roman" w:cstheme="minorHAnsi"/>
          <w:i/>
          <w:color w:val="1F497D" w:themeColor="text2"/>
          <w:sz w:val="24"/>
          <w:szCs w:val="24"/>
        </w:rPr>
      </w:pPr>
      <w:r w:rsidRPr="0037117F">
        <w:rPr>
          <w:rFonts w:eastAsia="Times New Roman" w:cstheme="minorHAnsi"/>
          <w:i/>
          <w:color w:val="1F497D" w:themeColor="text2"/>
          <w:sz w:val="24"/>
          <w:szCs w:val="24"/>
        </w:rPr>
        <w:t>URB307 Cases by Provider – OR to Inpatient Analysis</w:t>
      </w:r>
    </w:p>
    <w:p w14:paraId="2BB5E29C" w14:textId="77777777" w:rsidR="0037117F" w:rsidRDefault="0037117F" w:rsidP="0037117F">
      <w:pPr>
        <w:numPr>
          <w:ilvl w:val="1"/>
          <w:numId w:val="1"/>
        </w:numPr>
        <w:overflowPunct w:val="0"/>
        <w:autoSpaceDE w:val="0"/>
        <w:autoSpaceDN w:val="0"/>
        <w:adjustRightInd w:val="0"/>
        <w:spacing w:after="0" w:line="240" w:lineRule="auto"/>
        <w:contextualSpacing/>
        <w:textAlignment w:val="baseline"/>
        <w:rPr>
          <w:rFonts w:eastAsia="Times New Roman" w:cstheme="minorHAnsi"/>
          <w:i/>
          <w:color w:val="1F497D" w:themeColor="text2"/>
          <w:sz w:val="24"/>
          <w:szCs w:val="24"/>
        </w:rPr>
      </w:pPr>
      <w:r w:rsidRPr="0037117F">
        <w:rPr>
          <w:rFonts w:eastAsia="Times New Roman" w:cstheme="minorHAnsi"/>
          <w:i/>
          <w:color w:val="1F497D" w:themeColor="text2"/>
          <w:sz w:val="24"/>
          <w:szCs w:val="24"/>
        </w:rPr>
        <w:t>URB308 All Other Provider Activity</w:t>
      </w:r>
    </w:p>
    <w:p w14:paraId="7BC3363D" w14:textId="77777777" w:rsidR="008852EB" w:rsidRDefault="008852EB" w:rsidP="0037117F">
      <w:pPr>
        <w:numPr>
          <w:ilvl w:val="1"/>
          <w:numId w:val="1"/>
        </w:numPr>
        <w:overflowPunct w:val="0"/>
        <w:autoSpaceDE w:val="0"/>
        <w:autoSpaceDN w:val="0"/>
        <w:adjustRightInd w:val="0"/>
        <w:spacing w:after="0" w:line="240" w:lineRule="auto"/>
        <w:contextualSpacing/>
        <w:textAlignment w:val="baseline"/>
        <w:rPr>
          <w:rFonts w:eastAsia="Times New Roman" w:cstheme="minorHAnsi"/>
          <w:i/>
          <w:color w:val="1F497D" w:themeColor="text2"/>
          <w:sz w:val="24"/>
          <w:szCs w:val="24"/>
        </w:rPr>
      </w:pPr>
      <w:r>
        <w:rPr>
          <w:rFonts w:eastAsia="Times New Roman" w:cstheme="minorHAnsi"/>
          <w:i/>
          <w:color w:val="1F497D" w:themeColor="text2"/>
          <w:sz w:val="24"/>
          <w:szCs w:val="24"/>
        </w:rPr>
        <w:t>URB309 Provider Toolkit Report</w:t>
      </w:r>
    </w:p>
    <w:p w14:paraId="0B04AB83" w14:textId="77777777" w:rsidR="008852EB" w:rsidRPr="0037117F" w:rsidRDefault="008852EB" w:rsidP="0037117F">
      <w:pPr>
        <w:numPr>
          <w:ilvl w:val="1"/>
          <w:numId w:val="1"/>
        </w:numPr>
        <w:overflowPunct w:val="0"/>
        <w:autoSpaceDE w:val="0"/>
        <w:autoSpaceDN w:val="0"/>
        <w:adjustRightInd w:val="0"/>
        <w:spacing w:after="0" w:line="240" w:lineRule="auto"/>
        <w:contextualSpacing/>
        <w:textAlignment w:val="baseline"/>
        <w:rPr>
          <w:rFonts w:eastAsia="Times New Roman" w:cstheme="minorHAnsi"/>
          <w:i/>
          <w:color w:val="1F497D" w:themeColor="text2"/>
          <w:sz w:val="24"/>
          <w:szCs w:val="24"/>
        </w:rPr>
      </w:pPr>
      <w:r>
        <w:rPr>
          <w:rFonts w:eastAsia="Times New Roman" w:cstheme="minorHAnsi"/>
          <w:i/>
          <w:color w:val="1F497D" w:themeColor="text2"/>
          <w:sz w:val="24"/>
          <w:szCs w:val="24"/>
        </w:rPr>
        <w:t>URB309 Provider Toolkit Report by FAO</w:t>
      </w:r>
    </w:p>
    <w:p w14:paraId="4D34830D" w14:textId="77777777" w:rsidR="0037117F" w:rsidRPr="0037117F" w:rsidRDefault="0037117F" w:rsidP="0037117F">
      <w:pPr>
        <w:numPr>
          <w:ilvl w:val="1"/>
          <w:numId w:val="1"/>
        </w:numPr>
        <w:overflowPunct w:val="0"/>
        <w:autoSpaceDE w:val="0"/>
        <w:autoSpaceDN w:val="0"/>
        <w:adjustRightInd w:val="0"/>
        <w:spacing w:after="0" w:line="240" w:lineRule="auto"/>
        <w:contextualSpacing/>
        <w:textAlignment w:val="baseline"/>
        <w:rPr>
          <w:rFonts w:eastAsia="Times New Roman" w:cstheme="minorHAnsi"/>
          <w:i/>
          <w:color w:val="1F497D" w:themeColor="text2"/>
          <w:sz w:val="24"/>
          <w:szCs w:val="24"/>
        </w:rPr>
      </w:pPr>
      <w:r w:rsidRPr="0037117F">
        <w:rPr>
          <w:rFonts w:eastAsia="Times New Roman" w:cstheme="minorHAnsi"/>
          <w:i/>
          <w:color w:val="1F497D" w:themeColor="text2"/>
          <w:sz w:val="24"/>
          <w:szCs w:val="24"/>
        </w:rPr>
        <w:t>URB310 Case Actuals Tie Out</w:t>
      </w:r>
    </w:p>
    <w:p w14:paraId="729467FB" w14:textId="77777777" w:rsidR="0037117F" w:rsidRPr="0037117F" w:rsidRDefault="0037117F" w:rsidP="0037117F">
      <w:pPr>
        <w:overflowPunct w:val="0"/>
        <w:autoSpaceDE w:val="0"/>
        <w:autoSpaceDN w:val="0"/>
        <w:adjustRightInd w:val="0"/>
        <w:spacing w:after="0" w:line="240" w:lineRule="auto"/>
        <w:textAlignment w:val="baseline"/>
        <w:rPr>
          <w:rFonts w:eastAsia="Times New Roman" w:cstheme="minorHAnsi"/>
          <w:b/>
          <w:i/>
          <w:sz w:val="24"/>
          <w:szCs w:val="24"/>
        </w:rPr>
      </w:pPr>
    </w:p>
    <w:p w14:paraId="4265F55B" w14:textId="77777777" w:rsidR="0037117F" w:rsidRPr="0037117F" w:rsidRDefault="0037117F" w:rsidP="0037117F">
      <w:pPr>
        <w:overflowPunct w:val="0"/>
        <w:autoSpaceDE w:val="0"/>
        <w:autoSpaceDN w:val="0"/>
        <w:adjustRightInd w:val="0"/>
        <w:spacing w:after="0" w:line="240" w:lineRule="auto"/>
        <w:textAlignment w:val="baseline"/>
        <w:rPr>
          <w:rFonts w:eastAsia="Times New Roman" w:cstheme="minorHAnsi"/>
          <w:b/>
          <w:i/>
          <w:sz w:val="24"/>
          <w:szCs w:val="24"/>
        </w:rPr>
      </w:pPr>
      <w:r w:rsidRPr="0037117F">
        <w:rPr>
          <w:rFonts w:eastAsia="Times New Roman" w:cstheme="minorHAnsi"/>
          <w:b/>
          <w:i/>
          <w:sz w:val="24"/>
          <w:szCs w:val="24"/>
        </w:rPr>
        <w:t>Check-list</w:t>
      </w:r>
    </w:p>
    <w:p w14:paraId="5C82708F" w14:textId="77777777" w:rsidR="0037117F" w:rsidRPr="007D332E" w:rsidRDefault="00AC7E1B" w:rsidP="0037117F">
      <w:pPr>
        <w:numPr>
          <w:ilvl w:val="0"/>
          <w:numId w:val="6"/>
        </w:numPr>
        <w:overflowPunct w:val="0"/>
        <w:autoSpaceDE w:val="0"/>
        <w:autoSpaceDN w:val="0"/>
        <w:adjustRightInd w:val="0"/>
        <w:spacing w:after="0" w:line="240" w:lineRule="auto"/>
        <w:contextualSpacing/>
        <w:textAlignment w:val="baseline"/>
        <w:rPr>
          <w:rFonts w:eastAsia="Times New Roman" w:cstheme="minorHAnsi"/>
          <w:b/>
          <w:i/>
          <w:sz w:val="24"/>
          <w:szCs w:val="24"/>
        </w:rPr>
      </w:pPr>
      <w:r>
        <w:rPr>
          <w:rFonts w:eastAsia="Times New Roman" w:cstheme="minorHAnsi"/>
          <w:i/>
          <w:sz w:val="24"/>
          <w:szCs w:val="24"/>
        </w:rPr>
        <w:t>The goal of the Provider Model Check List</w:t>
      </w:r>
      <w:r w:rsidR="0037117F" w:rsidRPr="0037117F">
        <w:rPr>
          <w:rFonts w:eastAsia="Times New Roman" w:cstheme="minorHAnsi"/>
          <w:i/>
          <w:sz w:val="24"/>
          <w:szCs w:val="24"/>
        </w:rPr>
        <w:t xml:space="preserve"> is to help ensure that all components have been budgeted and reviewed.  </w:t>
      </w:r>
      <w:r w:rsidR="0037117F" w:rsidRPr="007D332E">
        <w:rPr>
          <w:rFonts w:eastAsia="Times New Roman" w:cstheme="minorHAnsi"/>
          <w:b/>
          <w:i/>
          <w:sz w:val="24"/>
          <w:szCs w:val="24"/>
        </w:rPr>
        <w:t xml:space="preserve">This </w:t>
      </w:r>
      <w:r w:rsidR="0037117F" w:rsidRPr="007D332E">
        <w:rPr>
          <w:rFonts w:eastAsia="Times New Roman" w:cstheme="minorHAnsi"/>
          <w:b/>
          <w:i/>
          <w:sz w:val="24"/>
          <w:szCs w:val="24"/>
          <w:u w:val="single"/>
        </w:rPr>
        <w:t>must</w:t>
      </w:r>
      <w:r w:rsidR="0037117F" w:rsidRPr="007D332E">
        <w:rPr>
          <w:rFonts w:eastAsia="Times New Roman" w:cstheme="minorHAnsi"/>
          <w:b/>
          <w:i/>
          <w:sz w:val="24"/>
          <w:szCs w:val="24"/>
        </w:rPr>
        <w:t xml:space="preserve"> be completed and emailed to your Finance Liaisons in each Company – MFG, SMH, and SMD.  </w:t>
      </w:r>
    </w:p>
    <w:p w14:paraId="13250940" w14:textId="77777777" w:rsidR="0037117F" w:rsidRPr="0037117F" w:rsidRDefault="0037117F" w:rsidP="0037117F">
      <w:pPr>
        <w:numPr>
          <w:ilvl w:val="0"/>
          <w:numId w:val="6"/>
        </w:numPr>
        <w:overflowPunct w:val="0"/>
        <w:autoSpaceDE w:val="0"/>
        <w:autoSpaceDN w:val="0"/>
        <w:adjustRightInd w:val="0"/>
        <w:spacing w:after="0" w:line="240" w:lineRule="auto"/>
        <w:contextualSpacing/>
        <w:textAlignment w:val="baseline"/>
        <w:rPr>
          <w:rFonts w:eastAsia="Times New Roman" w:cstheme="minorHAnsi"/>
          <w:i/>
          <w:sz w:val="24"/>
          <w:szCs w:val="24"/>
        </w:rPr>
      </w:pPr>
      <w:r w:rsidRPr="0037117F">
        <w:rPr>
          <w:rFonts w:eastAsia="Times New Roman" w:cstheme="minorHAnsi"/>
          <w:i/>
          <w:sz w:val="24"/>
          <w:szCs w:val="24"/>
        </w:rPr>
        <w:t xml:space="preserve">Provider model files and the Provider model check list should be reviewed with your assigned Finance Liaison </w:t>
      </w:r>
      <w:r w:rsidR="00F67498">
        <w:rPr>
          <w:rFonts w:eastAsia="Times New Roman" w:cstheme="minorHAnsi"/>
          <w:i/>
          <w:sz w:val="24"/>
          <w:szCs w:val="24"/>
        </w:rPr>
        <w:t>by the end of February</w:t>
      </w:r>
      <w:r w:rsidRPr="0037117F">
        <w:rPr>
          <w:rFonts w:eastAsia="Times New Roman" w:cstheme="minorHAnsi"/>
          <w:i/>
          <w:sz w:val="24"/>
          <w:szCs w:val="24"/>
        </w:rPr>
        <w:t xml:space="preserve">.  We recognize that changes may still occur to the provider models as you move through the remainder of the budget process.  </w:t>
      </w:r>
    </w:p>
    <w:p w14:paraId="0EE093ED" w14:textId="77777777" w:rsidR="00AC7E1B" w:rsidRDefault="00AC7E1B" w:rsidP="0037117F">
      <w:pPr>
        <w:overflowPunct w:val="0"/>
        <w:autoSpaceDE w:val="0"/>
        <w:autoSpaceDN w:val="0"/>
        <w:adjustRightInd w:val="0"/>
        <w:spacing w:after="0" w:line="240" w:lineRule="auto"/>
        <w:textAlignment w:val="baseline"/>
        <w:rPr>
          <w:rFonts w:eastAsia="Times New Roman" w:cstheme="minorHAnsi"/>
          <w:b/>
          <w:sz w:val="24"/>
          <w:szCs w:val="24"/>
        </w:rPr>
      </w:pPr>
    </w:p>
    <w:p w14:paraId="58979D00" w14:textId="77777777" w:rsidR="0037117F" w:rsidRPr="0037117F" w:rsidRDefault="0037117F" w:rsidP="0037117F">
      <w:pPr>
        <w:overflowPunct w:val="0"/>
        <w:autoSpaceDE w:val="0"/>
        <w:autoSpaceDN w:val="0"/>
        <w:adjustRightInd w:val="0"/>
        <w:spacing w:after="0" w:line="240" w:lineRule="auto"/>
        <w:textAlignment w:val="baseline"/>
        <w:rPr>
          <w:rFonts w:eastAsia="Times New Roman" w:cstheme="minorHAnsi"/>
          <w:b/>
          <w:sz w:val="24"/>
          <w:szCs w:val="24"/>
        </w:rPr>
      </w:pPr>
      <w:r w:rsidRPr="0037117F">
        <w:rPr>
          <w:rFonts w:eastAsia="Times New Roman" w:cstheme="minorHAnsi"/>
          <w:b/>
          <w:sz w:val="24"/>
          <w:szCs w:val="24"/>
        </w:rPr>
        <w:t xml:space="preserve">There is a Provider Quick Reference Card (under the Training section) to assist </w:t>
      </w:r>
      <w:proofErr w:type="gramStart"/>
      <w:r w:rsidRPr="0037117F">
        <w:rPr>
          <w:rFonts w:eastAsia="Times New Roman" w:cstheme="minorHAnsi"/>
          <w:b/>
          <w:sz w:val="24"/>
          <w:szCs w:val="24"/>
        </w:rPr>
        <w:t>new users</w:t>
      </w:r>
      <w:proofErr w:type="gramEnd"/>
      <w:r w:rsidRPr="0037117F">
        <w:rPr>
          <w:rFonts w:eastAsia="Times New Roman" w:cstheme="minorHAnsi"/>
          <w:b/>
          <w:sz w:val="24"/>
          <w:szCs w:val="24"/>
        </w:rPr>
        <w:t xml:space="preserve"> in navigating through the system. </w:t>
      </w:r>
    </w:p>
    <w:p w14:paraId="4B6EE1CA" w14:textId="77777777" w:rsidR="00FD5229" w:rsidRDefault="00FD5229"/>
    <w:p w14:paraId="77D8E596" w14:textId="77777777" w:rsidR="0037117F" w:rsidRDefault="0037117F"/>
    <w:p w14:paraId="56EC9836" w14:textId="77777777" w:rsidR="00AC7E1B" w:rsidRDefault="00AC7E1B"/>
    <w:p w14:paraId="4D983F09" w14:textId="77777777" w:rsidR="008559DE" w:rsidRDefault="008559DE">
      <w:r>
        <w:br w:type="page"/>
      </w:r>
    </w:p>
    <w:p w14:paraId="64B719EE" w14:textId="77777777" w:rsidR="00AC7E1B" w:rsidRDefault="00AC7E1B"/>
    <w:p w14:paraId="5F6A9B3F" w14:textId="77777777" w:rsidR="0037117F" w:rsidRPr="0037117F" w:rsidRDefault="0037117F" w:rsidP="0037117F">
      <w:pPr>
        <w:overflowPunct w:val="0"/>
        <w:autoSpaceDE w:val="0"/>
        <w:autoSpaceDN w:val="0"/>
        <w:adjustRightInd w:val="0"/>
        <w:spacing w:after="0" w:line="240" w:lineRule="auto"/>
        <w:textAlignment w:val="baseline"/>
        <w:rPr>
          <w:rFonts w:eastAsia="Times New Roman" w:cstheme="minorHAnsi"/>
          <w:b/>
          <w:i/>
          <w:sz w:val="36"/>
          <w:szCs w:val="36"/>
        </w:rPr>
      </w:pPr>
      <w:r w:rsidRPr="0037117F">
        <w:rPr>
          <w:rFonts w:eastAsia="Times New Roman" w:cstheme="minorHAnsi"/>
          <w:b/>
          <w:i/>
          <w:sz w:val="36"/>
          <w:szCs w:val="36"/>
        </w:rPr>
        <w:t>For Reference</w:t>
      </w:r>
    </w:p>
    <w:p w14:paraId="17D2AD49" w14:textId="77777777" w:rsidR="0037117F" w:rsidRPr="0037117F" w:rsidRDefault="0037117F" w:rsidP="0037117F">
      <w:pPr>
        <w:overflowPunct w:val="0"/>
        <w:autoSpaceDE w:val="0"/>
        <w:autoSpaceDN w:val="0"/>
        <w:adjustRightInd w:val="0"/>
        <w:spacing w:after="0" w:line="240" w:lineRule="auto"/>
        <w:textAlignment w:val="baseline"/>
        <w:rPr>
          <w:rFonts w:eastAsia="Times New Roman" w:cstheme="minorHAnsi"/>
          <w:b/>
          <w:sz w:val="24"/>
          <w:szCs w:val="24"/>
        </w:rPr>
      </w:pPr>
      <w:r w:rsidRPr="0037117F">
        <w:rPr>
          <w:rFonts w:eastAsia="Times New Roman" w:cstheme="minorHAnsi"/>
          <w:b/>
          <w:sz w:val="24"/>
          <w:szCs w:val="24"/>
        </w:rPr>
        <w:br/>
        <w:t>Effort Definition</w:t>
      </w:r>
    </w:p>
    <w:p w14:paraId="084E847E" w14:textId="77777777" w:rsidR="0037117F" w:rsidRDefault="006A0BA3">
      <w:r w:rsidRPr="00CD72C8">
        <w:rPr>
          <w:noProof/>
        </w:rPr>
        <mc:AlternateContent>
          <mc:Choice Requires="wps">
            <w:drawing>
              <wp:anchor distT="0" distB="0" distL="114300" distR="114300" simplePos="0" relativeHeight="251659264" behindDoc="0" locked="0" layoutInCell="1" allowOverlap="1" wp14:anchorId="3ACF4C94" wp14:editId="3DB9A4BB">
                <wp:simplePos x="0" y="0"/>
                <wp:positionH relativeFrom="margin">
                  <wp:align>left</wp:align>
                </wp:positionH>
                <wp:positionV relativeFrom="paragraph">
                  <wp:posOffset>35560</wp:posOffset>
                </wp:positionV>
                <wp:extent cx="6496050" cy="8401050"/>
                <wp:effectExtent l="0" t="0" r="0" b="0"/>
                <wp:wrapNone/>
                <wp:docPr id="2" name="TextBox 4"/>
                <wp:cNvGraphicFramePr/>
                <a:graphic xmlns:a="http://schemas.openxmlformats.org/drawingml/2006/main">
                  <a:graphicData uri="http://schemas.microsoft.com/office/word/2010/wordprocessingShape">
                    <wps:wsp>
                      <wps:cNvSpPr txBox="1"/>
                      <wps:spPr>
                        <a:xfrm>
                          <a:off x="0" y="0"/>
                          <a:ext cx="6496050" cy="8401050"/>
                        </a:xfrm>
                        <a:prstGeom prst="rect">
                          <a:avLst/>
                        </a:prstGeom>
                        <a:noFill/>
                      </wps:spPr>
                      <wps:txbx>
                        <w:txbxContent>
                          <w:p w14:paraId="5700DC46" w14:textId="77777777" w:rsidR="0037117F" w:rsidRDefault="0037117F" w:rsidP="0037117F">
                            <w:pPr>
                              <w:pStyle w:val="NormalWeb"/>
                              <w:spacing w:before="0" w:beforeAutospacing="0" w:after="0" w:afterAutospacing="0"/>
                            </w:pPr>
                            <w:r>
                              <w:rPr>
                                <w:rFonts w:asciiTheme="minorHAnsi" w:hAnsi="Calibri" w:cstheme="minorBidi"/>
                                <w:b/>
                                <w:bCs/>
                                <w:color w:val="000000"/>
                                <w:u w:val="single"/>
                              </w:rPr>
                              <w:t>Clinical</w:t>
                            </w:r>
                          </w:p>
                          <w:p w14:paraId="570F4DE8" w14:textId="77777777" w:rsidR="0037117F" w:rsidRPr="00AD1ABA" w:rsidRDefault="0037117F" w:rsidP="0037117F">
                            <w:pPr>
                              <w:pStyle w:val="ListParagraph"/>
                              <w:numPr>
                                <w:ilvl w:val="1"/>
                                <w:numId w:val="8"/>
                              </w:numPr>
                              <w:overflowPunct/>
                              <w:autoSpaceDE/>
                              <w:autoSpaceDN/>
                              <w:adjustRightInd/>
                              <w:textAlignment w:val="auto"/>
                              <w:rPr>
                                <w:rFonts w:asciiTheme="minorHAnsi" w:hAnsiTheme="minorHAnsi" w:cstheme="minorHAnsi"/>
                              </w:rPr>
                            </w:pPr>
                            <w:r>
                              <w:rPr>
                                <w:rFonts w:asciiTheme="minorHAnsi" w:hAnsi="Calibri" w:cstheme="minorBidi"/>
                                <w:color w:val="000000"/>
                              </w:rPr>
                              <w:t xml:space="preserve">All billable physician activity (surgical time, scheduled clinics, inpatient services, </w:t>
                            </w:r>
                            <w:r w:rsidRPr="00AD1ABA">
                              <w:rPr>
                                <w:rFonts w:asciiTheme="minorHAnsi" w:hAnsiTheme="minorHAnsi" w:cstheme="minorHAnsi"/>
                                <w:color w:val="000000"/>
                              </w:rPr>
                              <w:t xml:space="preserve">hospital rounding), including activities with learners present </w:t>
                            </w:r>
                            <w:r w:rsidR="006A0BA3">
                              <w:rPr>
                                <w:rFonts w:asciiTheme="minorHAnsi" w:hAnsiTheme="minorHAnsi" w:cstheme="minorHAnsi"/>
                                <w:color w:val="000000"/>
                              </w:rPr>
                              <w:t>and care to patients enrolled on clinical trials</w:t>
                            </w:r>
                          </w:p>
                          <w:p w14:paraId="012CAD61" w14:textId="77777777" w:rsidR="006A0BA3" w:rsidRPr="00AD1ABA" w:rsidRDefault="006A0BA3" w:rsidP="0037117F">
                            <w:pPr>
                              <w:pStyle w:val="ListParagraph"/>
                              <w:numPr>
                                <w:ilvl w:val="1"/>
                                <w:numId w:val="8"/>
                              </w:numPr>
                              <w:overflowPunct/>
                              <w:autoSpaceDE/>
                              <w:autoSpaceDN/>
                              <w:adjustRightInd/>
                              <w:textAlignment w:val="auto"/>
                              <w:rPr>
                                <w:rFonts w:asciiTheme="minorHAnsi" w:hAnsiTheme="minorHAnsi" w:cstheme="minorHAnsi"/>
                              </w:rPr>
                            </w:pPr>
                            <w:r>
                              <w:rPr>
                                <w:rFonts w:asciiTheme="minorHAnsi" w:hAnsiTheme="minorHAnsi" w:cstheme="minorHAnsi"/>
                              </w:rPr>
                              <w:t>Phone calls/telemedicine visits with patients, caregivers and other providers even when not billed by the provider</w:t>
                            </w:r>
                          </w:p>
                          <w:p w14:paraId="2A040B87" w14:textId="77777777" w:rsidR="0037117F" w:rsidRPr="00AD1ABA" w:rsidRDefault="0037117F" w:rsidP="0037117F">
                            <w:pPr>
                              <w:pStyle w:val="ListParagraph"/>
                              <w:numPr>
                                <w:ilvl w:val="1"/>
                                <w:numId w:val="8"/>
                              </w:numPr>
                              <w:overflowPunct/>
                              <w:autoSpaceDE/>
                              <w:autoSpaceDN/>
                              <w:adjustRightInd/>
                              <w:textAlignment w:val="auto"/>
                              <w:rPr>
                                <w:rFonts w:asciiTheme="minorHAnsi" w:hAnsiTheme="minorHAnsi" w:cstheme="minorHAnsi"/>
                              </w:rPr>
                            </w:pPr>
                            <w:r w:rsidRPr="00AD1ABA">
                              <w:rPr>
                                <w:rFonts w:asciiTheme="minorHAnsi" w:hAnsiTheme="minorHAnsi" w:cstheme="minorHAnsi"/>
                                <w:color w:val="000000"/>
                              </w:rPr>
                              <w:t>Direct patient contact</w:t>
                            </w:r>
                          </w:p>
                          <w:p w14:paraId="783AF0BD" w14:textId="77777777" w:rsidR="00186581" w:rsidRPr="00AD1ABA" w:rsidRDefault="00186581" w:rsidP="0037117F">
                            <w:pPr>
                              <w:pStyle w:val="ListParagraph"/>
                              <w:numPr>
                                <w:ilvl w:val="1"/>
                                <w:numId w:val="8"/>
                              </w:numPr>
                              <w:overflowPunct/>
                              <w:autoSpaceDE/>
                              <w:autoSpaceDN/>
                              <w:adjustRightInd/>
                              <w:textAlignment w:val="auto"/>
                              <w:rPr>
                                <w:rFonts w:asciiTheme="minorHAnsi" w:hAnsiTheme="minorHAnsi" w:cstheme="minorHAnsi"/>
                              </w:rPr>
                            </w:pPr>
                            <w:r w:rsidRPr="00AD1ABA">
                              <w:rPr>
                                <w:rFonts w:asciiTheme="minorHAnsi" w:hAnsiTheme="minorHAnsi" w:cstheme="minorHAnsi"/>
                              </w:rPr>
                              <w:t>Interpretation of diagnostic clinical data relating to the care of a patient</w:t>
                            </w:r>
                          </w:p>
                          <w:p w14:paraId="08327EEF" w14:textId="77777777" w:rsidR="0037117F" w:rsidRDefault="0037117F" w:rsidP="0037117F">
                            <w:pPr>
                              <w:pStyle w:val="ListParagraph"/>
                              <w:numPr>
                                <w:ilvl w:val="1"/>
                                <w:numId w:val="8"/>
                              </w:numPr>
                              <w:overflowPunct/>
                              <w:autoSpaceDE/>
                              <w:autoSpaceDN/>
                              <w:adjustRightInd/>
                              <w:textAlignment w:val="auto"/>
                            </w:pPr>
                            <w:r>
                              <w:rPr>
                                <w:rFonts w:asciiTheme="minorHAnsi" w:hAnsi="Calibri" w:cstheme="minorBidi"/>
                                <w:color w:val="000000"/>
                              </w:rPr>
                              <w:t>Indigent care</w:t>
                            </w:r>
                          </w:p>
                          <w:p w14:paraId="143C40DD" w14:textId="77777777" w:rsidR="0037117F" w:rsidRDefault="006A0BA3" w:rsidP="0037117F">
                            <w:pPr>
                              <w:pStyle w:val="ListParagraph"/>
                              <w:numPr>
                                <w:ilvl w:val="1"/>
                                <w:numId w:val="8"/>
                              </w:numPr>
                              <w:overflowPunct/>
                              <w:autoSpaceDE/>
                              <w:autoSpaceDN/>
                              <w:adjustRightInd/>
                              <w:textAlignment w:val="auto"/>
                            </w:pPr>
                            <w:r>
                              <w:rPr>
                                <w:rFonts w:asciiTheme="minorHAnsi" w:hAnsi="Calibri" w:cstheme="minorBidi"/>
                                <w:color w:val="000000"/>
                              </w:rPr>
                              <w:t>Care coordination and s</w:t>
                            </w:r>
                            <w:r w:rsidR="0037117F">
                              <w:rPr>
                                <w:rFonts w:asciiTheme="minorHAnsi" w:hAnsi="Calibri" w:cstheme="minorBidi"/>
                                <w:color w:val="000000"/>
                              </w:rPr>
                              <w:t>upervision of residents/fellows</w:t>
                            </w:r>
                            <w:r>
                              <w:rPr>
                                <w:rFonts w:asciiTheme="minorHAnsi" w:hAnsi="Calibri" w:cstheme="minorBidi"/>
                                <w:color w:val="000000"/>
                              </w:rPr>
                              <w:t>, RNs and APPs</w:t>
                            </w:r>
                            <w:r w:rsidR="0037117F">
                              <w:rPr>
                                <w:rFonts w:asciiTheme="minorHAnsi" w:hAnsi="Calibri" w:cstheme="minorBidi"/>
                                <w:color w:val="000000"/>
                              </w:rPr>
                              <w:t xml:space="preserve"> while seeing patients</w:t>
                            </w:r>
                          </w:p>
                          <w:p w14:paraId="66910DF0" w14:textId="77777777" w:rsidR="0037117F" w:rsidRPr="005F153F" w:rsidRDefault="0037117F" w:rsidP="0037117F">
                            <w:pPr>
                              <w:pStyle w:val="ListParagraph"/>
                              <w:numPr>
                                <w:ilvl w:val="1"/>
                                <w:numId w:val="8"/>
                              </w:numPr>
                              <w:overflowPunct/>
                              <w:autoSpaceDE/>
                              <w:autoSpaceDN/>
                              <w:adjustRightInd/>
                              <w:textAlignment w:val="auto"/>
                              <w:rPr>
                                <w:rFonts w:asciiTheme="minorHAnsi" w:hAnsiTheme="minorHAnsi" w:cstheme="minorHAnsi"/>
                              </w:rPr>
                            </w:pPr>
                            <w:r>
                              <w:rPr>
                                <w:rFonts w:asciiTheme="minorHAnsi" w:hAnsi="Calibri" w:cstheme="minorBidi"/>
                                <w:color w:val="000000"/>
                              </w:rPr>
                              <w:t>Chart rev</w:t>
                            </w:r>
                            <w:r w:rsidRPr="00AD1ABA">
                              <w:rPr>
                                <w:rFonts w:asciiTheme="minorHAnsi" w:hAnsiTheme="minorHAnsi" w:cstheme="minorHAnsi"/>
                                <w:color w:val="000000"/>
                              </w:rPr>
                              <w:t xml:space="preserve">iew, documentation, </w:t>
                            </w:r>
                            <w:r w:rsidR="006A0BA3" w:rsidRPr="00AD1ABA">
                              <w:rPr>
                                <w:rFonts w:asciiTheme="minorHAnsi" w:hAnsiTheme="minorHAnsi" w:cstheme="minorHAnsi"/>
                                <w:color w:val="000000"/>
                              </w:rPr>
                              <w:t xml:space="preserve">preparing and signing orders, review and signature of home health care paperwork, </w:t>
                            </w:r>
                            <w:r w:rsidRPr="00AD1ABA">
                              <w:rPr>
                                <w:rFonts w:asciiTheme="minorHAnsi" w:hAnsiTheme="minorHAnsi" w:cstheme="minorHAnsi"/>
                                <w:color w:val="000000"/>
                              </w:rPr>
                              <w:t>and other office work related to clinical activity</w:t>
                            </w:r>
                          </w:p>
                          <w:p w14:paraId="65D09E1B" w14:textId="77777777" w:rsidR="006A0BA3" w:rsidRPr="00AD1ABA" w:rsidRDefault="006A0BA3" w:rsidP="0037117F">
                            <w:pPr>
                              <w:pStyle w:val="ListParagraph"/>
                              <w:numPr>
                                <w:ilvl w:val="1"/>
                                <w:numId w:val="8"/>
                              </w:numPr>
                              <w:overflowPunct/>
                              <w:autoSpaceDE/>
                              <w:autoSpaceDN/>
                              <w:adjustRightInd/>
                              <w:textAlignment w:val="auto"/>
                              <w:rPr>
                                <w:rFonts w:asciiTheme="minorHAnsi" w:hAnsiTheme="minorHAnsi" w:cstheme="minorHAnsi"/>
                              </w:rPr>
                            </w:pPr>
                            <w:r w:rsidRPr="00AD1ABA">
                              <w:rPr>
                                <w:rFonts w:asciiTheme="minorHAnsi" w:hAnsiTheme="minorHAnsi" w:cstheme="minorHAnsi"/>
                              </w:rPr>
                              <w:t>Meetings focused on review and recommendations on individual patients</w:t>
                            </w:r>
                          </w:p>
                          <w:p w14:paraId="0F4E5D8F" w14:textId="77777777" w:rsidR="0037117F" w:rsidRDefault="0037117F" w:rsidP="0037117F">
                            <w:pPr>
                              <w:pStyle w:val="NormalWeb"/>
                              <w:spacing w:before="0" w:beforeAutospacing="0" w:after="0" w:afterAutospacing="0"/>
                              <w:rPr>
                                <w:rFonts w:asciiTheme="minorHAnsi" w:hAnsi="Calibri" w:cstheme="minorBidi"/>
                                <w:b/>
                                <w:bCs/>
                                <w:color w:val="000000"/>
                                <w:u w:val="single"/>
                              </w:rPr>
                            </w:pPr>
                          </w:p>
                          <w:p w14:paraId="4C67F211" w14:textId="77777777" w:rsidR="0037117F" w:rsidRPr="00AD1ABA" w:rsidRDefault="0037117F" w:rsidP="0037117F">
                            <w:pPr>
                              <w:pStyle w:val="NormalWeb"/>
                              <w:spacing w:before="0" w:beforeAutospacing="0" w:after="0" w:afterAutospacing="0"/>
                              <w:rPr>
                                <w:rFonts w:asciiTheme="minorHAnsi" w:hAnsiTheme="minorHAnsi" w:cstheme="minorHAnsi"/>
                                <w:b/>
                                <w:bCs/>
                                <w:color w:val="000000"/>
                                <w:u w:val="single"/>
                              </w:rPr>
                            </w:pPr>
                            <w:r>
                              <w:rPr>
                                <w:rFonts w:asciiTheme="minorHAnsi" w:hAnsi="Calibri" w:cstheme="minorBidi"/>
                                <w:b/>
                                <w:bCs/>
                                <w:color w:val="000000"/>
                                <w:u w:val="single"/>
                              </w:rPr>
                              <w:t>Administration</w:t>
                            </w:r>
                          </w:p>
                          <w:p w14:paraId="4ABE5C14" w14:textId="77777777" w:rsidR="0037117F" w:rsidRPr="00AD1ABA" w:rsidRDefault="0037117F" w:rsidP="0037117F">
                            <w:pPr>
                              <w:pStyle w:val="ListParagraph"/>
                              <w:numPr>
                                <w:ilvl w:val="1"/>
                                <w:numId w:val="9"/>
                              </w:numPr>
                              <w:overflowPunct/>
                              <w:autoSpaceDE/>
                              <w:autoSpaceDN/>
                              <w:adjustRightInd/>
                              <w:textAlignment w:val="auto"/>
                              <w:rPr>
                                <w:rFonts w:asciiTheme="minorHAnsi" w:hAnsiTheme="minorHAnsi" w:cstheme="minorHAnsi"/>
                              </w:rPr>
                            </w:pPr>
                            <w:r w:rsidRPr="00AD1ABA">
                              <w:rPr>
                                <w:rFonts w:asciiTheme="minorHAnsi" w:hAnsiTheme="minorHAnsi" w:cstheme="minorHAnsi"/>
                                <w:color w:val="000000"/>
                              </w:rPr>
                              <w:t>Department chair or chief duties</w:t>
                            </w:r>
                          </w:p>
                          <w:p w14:paraId="03DF464F" w14:textId="77777777" w:rsidR="0037117F" w:rsidRPr="005F153F" w:rsidRDefault="0037117F" w:rsidP="0037117F">
                            <w:pPr>
                              <w:pStyle w:val="ListParagraph"/>
                              <w:numPr>
                                <w:ilvl w:val="1"/>
                                <w:numId w:val="9"/>
                              </w:numPr>
                              <w:overflowPunct/>
                              <w:autoSpaceDE/>
                              <w:autoSpaceDN/>
                              <w:adjustRightInd/>
                              <w:textAlignment w:val="auto"/>
                              <w:rPr>
                                <w:rFonts w:asciiTheme="minorHAnsi" w:hAnsiTheme="minorHAnsi" w:cstheme="minorHAnsi"/>
                              </w:rPr>
                            </w:pPr>
                            <w:r w:rsidRPr="005F153F">
                              <w:rPr>
                                <w:rFonts w:asciiTheme="minorHAnsi" w:hAnsiTheme="minorHAnsi" w:cstheme="minorHAnsi"/>
                                <w:color w:val="000000"/>
                              </w:rPr>
                              <w:t>GME program administration</w:t>
                            </w:r>
                          </w:p>
                          <w:p w14:paraId="2798EC6A" w14:textId="77777777" w:rsidR="0037117F" w:rsidRPr="005F153F" w:rsidRDefault="0037117F" w:rsidP="0037117F">
                            <w:pPr>
                              <w:pStyle w:val="ListParagraph"/>
                              <w:numPr>
                                <w:ilvl w:val="1"/>
                                <w:numId w:val="9"/>
                              </w:numPr>
                              <w:overflowPunct/>
                              <w:autoSpaceDE/>
                              <w:autoSpaceDN/>
                              <w:adjustRightInd/>
                              <w:textAlignment w:val="auto"/>
                              <w:rPr>
                                <w:rFonts w:asciiTheme="minorHAnsi" w:hAnsiTheme="minorHAnsi" w:cstheme="minorHAnsi"/>
                              </w:rPr>
                            </w:pPr>
                            <w:r w:rsidRPr="005F153F">
                              <w:rPr>
                                <w:rFonts w:asciiTheme="minorHAnsi" w:hAnsiTheme="minorHAnsi" w:cstheme="minorHAnsi"/>
                                <w:color w:val="000000"/>
                              </w:rPr>
                              <w:t>Medical director activities</w:t>
                            </w:r>
                          </w:p>
                          <w:p w14:paraId="30B25C53" w14:textId="77777777" w:rsidR="006A0BA3" w:rsidRPr="005F153F" w:rsidRDefault="006A0BA3" w:rsidP="0037117F">
                            <w:pPr>
                              <w:pStyle w:val="ListParagraph"/>
                              <w:numPr>
                                <w:ilvl w:val="1"/>
                                <w:numId w:val="9"/>
                              </w:numPr>
                              <w:overflowPunct/>
                              <w:autoSpaceDE/>
                              <w:autoSpaceDN/>
                              <w:adjustRightInd/>
                              <w:textAlignment w:val="auto"/>
                              <w:rPr>
                                <w:rFonts w:asciiTheme="minorHAnsi" w:hAnsiTheme="minorHAnsi" w:cstheme="minorHAnsi"/>
                              </w:rPr>
                            </w:pPr>
                            <w:r w:rsidRPr="005F153F">
                              <w:rPr>
                                <w:rFonts w:asciiTheme="minorHAnsi" w:hAnsiTheme="minorHAnsi" w:cstheme="minorHAnsi"/>
                              </w:rPr>
                              <w:t>EPIC Physician Builder role activities</w:t>
                            </w:r>
                          </w:p>
                          <w:p w14:paraId="458CB05F" w14:textId="77777777" w:rsidR="006A0BA3" w:rsidRPr="005F153F" w:rsidRDefault="006A0BA3" w:rsidP="0037117F">
                            <w:pPr>
                              <w:pStyle w:val="ListParagraph"/>
                              <w:numPr>
                                <w:ilvl w:val="1"/>
                                <w:numId w:val="9"/>
                              </w:numPr>
                              <w:overflowPunct/>
                              <w:autoSpaceDE/>
                              <w:autoSpaceDN/>
                              <w:adjustRightInd/>
                              <w:textAlignment w:val="auto"/>
                              <w:rPr>
                                <w:rFonts w:asciiTheme="minorHAnsi" w:hAnsiTheme="minorHAnsi" w:cstheme="minorHAnsi"/>
                              </w:rPr>
                            </w:pPr>
                            <w:r w:rsidRPr="005F153F">
                              <w:rPr>
                                <w:rFonts w:asciiTheme="minorHAnsi" w:hAnsiTheme="minorHAnsi" w:cstheme="minorHAnsi"/>
                              </w:rPr>
                              <w:t>Supervision of professional or technical staff (excluding GME trainees) while not providing patient care</w:t>
                            </w:r>
                          </w:p>
                          <w:p w14:paraId="41570CA5" w14:textId="77777777" w:rsidR="006A0BA3" w:rsidRPr="005F153F" w:rsidRDefault="006A0BA3" w:rsidP="0037117F">
                            <w:pPr>
                              <w:pStyle w:val="ListParagraph"/>
                              <w:numPr>
                                <w:ilvl w:val="1"/>
                                <w:numId w:val="9"/>
                              </w:numPr>
                              <w:overflowPunct/>
                              <w:autoSpaceDE/>
                              <w:autoSpaceDN/>
                              <w:adjustRightInd/>
                              <w:textAlignment w:val="auto"/>
                              <w:rPr>
                                <w:rFonts w:asciiTheme="minorHAnsi" w:hAnsiTheme="minorHAnsi" w:cstheme="minorHAnsi"/>
                              </w:rPr>
                            </w:pPr>
                            <w:r w:rsidRPr="005F153F">
                              <w:rPr>
                                <w:rFonts w:asciiTheme="minorHAnsi" w:hAnsiTheme="minorHAnsi" w:cstheme="minorHAnsi"/>
                              </w:rPr>
                              <w:t>Preparation for and attendance at internal administrative meetings</w:t>
                            </w:r>
                          </w:p>
                          <w:p w14:paraId="438CF181" w14:textId="77777777" w:rsidR="006A0BA3" w:rsidRPr="005F153F" w:rsidRDefault="006A0BA3">
                            <w:pPr>
                              <w:pStyle w:val="ListParagraph"/>
                              <w:numPr>
                                <w:ilvl w:val="1"/>
                                <w:numId w:val="9"/>
                              </w:numPr>
                              <w:overflowPunct/>
                              <w:autoSpaceDE/>
                              <w:autoSpaceDN/>
                              <w:adjustRightInd/>
                              <w:textAlignment w:val="auto"/>
                              <w:rPr>
                                <w:rFonts w:asciiTheme="minorHAnsi" w:hAnsiTheme="minorHAnsi" w:cstheme="minorHAnsi"/>
                              </w:rPr>
                            </w:pPr>
                            <w:r w:rsidRPr="005F153F">
                              <w:rPr>
                                <w:rFonts w:asciiTheme="minorHAnsi" w:hAnsiTheme="minorHAnsi" w:cstheme="minorHAnsi"/>
                              </w:rPr>
                              <w:t>Quality Assurance, Diversity and Inclusion, Regulatory, and other activities</w:t>
                            </w:r>
                          </w:p>
                          <w:p w14:paraId="1119BA5B" w14:textId="77777777" w:rsidR="0037117F" w:rsidRPr="005F153F" w:rsidRDefault="0037117F" w:rsidP="0037117F">
                            <w:pPr>
                              <w:pStyle w:val="ListParagraph"/>
                              <w:numPr>
                                <w:ilvl w:val="1"/>
                                <w:numId w:val="9"/>
                              </w:numPr>
                              <w:overflowPunct/>
                              <w:autoSpaceDE/>
                              <w:autoSpaceDN/>
                              <w:adjustRightInd/>
                              <w:textAlignment w:val="auto"/>
                              <w:rPr>
                                <w:rFonts w:asciiTheme="minorHAnsi" w:hAnsiTheme="minorHAnsi" w:cstheme="minorHAnsi"/>
                              </w:rPr>
                            </w:pPr>
                            <w:r w:rsidRPr="005F153F">
                              <w:rPr>
                                <w:rFonts w:asciiTheme="minorHAnsi" w:hAnsiTheme="minorHAnsi" w:cstheme="minorHAnsi"/>
                                <w:color w:val="000000"/>
                              </w:rPr>
                              <w:t>Other specified and defined time for hospital or practice administration</w:t>
                            </w:r>
                          </w:p>
                          <w:p w14:paraId="230EFC64" w14:textId="77777777" w:rsidR="0037117F" w:rsidRPr="005F153F" w:rsidRDefault="0037117F" w:rsidP="0037117F">
                            <w:pPr>
                              <w:pStyle w:val="NormalWeb"/>
                              <w:spacing w:before="0" w:beforeAutospacing="0" w:after="0" w:afterAutospacing="0"/>
                              <w:rPr>
                                <w:rFonts w:asciiTheme="minorHAnsi" w:hAnsiTheme="minorHAnsi" w:cstheme="minorHAnsi"/>
                                <w:b/>
                                <w:bCs/>
                                <w:color w:val="000000"/>
                                <w:u w:val="single"/>
                              </w:rPr>
                            </w:pPr>
                          </w:p>
                          <w:p w14:paraId="10F55F2C" w14:textId="77777777" w:rsidR="0037117F" w:rsidRPr="005F153F" w:rsidRDefault="0037117F" w:rsidP="0037117F">
                            <w:pPr>
                              <w:pStyle w:val="NormalWeb"/>
                              <w:spacing w:before="0" w:beforeAutospacing="0" w:after="0" w:afterAutospacing="0"/>
                              <w:rPr>
                                <w:rFonts w:asciiTheme="minorHAnsi" w:hAnsiTheme="minorHAnsi" w:cstheme="minorHAnsi"/>
                              </w:rPr>
                            </w:pPr>
                            <w:r w:rsidRPr="005F153F">
                              <w:rPr>
                                <w:rFonts w:asciiTheme="minorHAnsi" w:hAnsiTheme="minorHAnsi" w:cstheme="minorHAnsi"/>
                                <w:b/>
                                <w:bCs/>
                                <w:color w:val="000000"/>
                                <w:u w:val="single"/>
                              </w:rPr>
                              <w:t>Research</w:t>
                            </w:r>
                          </w:p>
                          <w:p w14:paraId="3050E278" w14:textId="77777777" w:rsidR="0037117F" w:rsidRPr="005F153F" w:rsidRDefault="0037117F" w:rsidP="0037117F">
                            <w:pPr>
                              <w:pStyle w:val="ListParagraph"/>
                              <w:numPr>
                                <w:ilvl w:val="1"/>
                                <w:numId w:val="10"/>
                              </w:numPr>
                              <w:overflowPunct/>
                              <w:autoSpaceDE/>
                              <w:autoSpaceDN/>
                              <w:adjustRightInd/>
                              <w:textAlignment w:val="auto"/>
                              <w:rPr>
                                <w:rFonts w:asciiTheme="minorHAnsi" w:hAnsiTheme="minorHAnsi" w:cstheme="minorHAnsi"/>
                              </w:rPr>
                            </w:pPr>
                            <w:r w:rsidRPr="005F153F">
                              <w:rPr>
                                <w:rFonts w:asciiTheme="minorHAnsi" w:hAnsiTheme="minorHAnsi" w:cstheme="minorHAnsi"/>
                                <w:color w:val="000000"/>
                              </w:rPr>
                              <w:t>Funded research activity (salary supported by grant)</w:t>
                            </w:r>
                            <w:r w:rsidR="006A0BA3" w:rsidRPr="005F153F">
                              <w:rPr>
                                <w:rFonts w:asciiTheme="minorHAnsi" w:hAnsiTheme="minorHAnsi" w:cstheme="minorHAnsi"/>
                                <w:color w:val="000000"/>
                              </w:rPr>
                              <w:t xml:space="preserve">, including foundational work to establish feasibility/baseline data, activities maintaining compliance around specific research projects, data collection and analysis, writing progress reports or papers on specific research projects, and supervising staff/mentoring trainees in a specific project </w:t>
                            </w:r>
                          </w:p>
                          <w:p w14:paraId="2A0CD403" w14:textId="77777777" w:rsidR="0037117F" w:rsidRPr="005F153F" w:rsidRDefault="0037117F" w:rsidP="0037117F">
                            <w:pPr>
                              <w:pStyle w:val="ListParagraph"/>
                              <w:numPr>
                                <w:ilvl w:val="1"/>
                                <w:numId w:val="10"/>
                              </w:numPr>
                              <w:overflowPunct/>
                              <w:autoSpaceDE/>
                              <w:autoSpaceDN/>
                              <w:adjustRightInd/>
                              <w:textAlignment w:val="auto"/>
                              <w:rPr>
                                <w:rFonts w:asciiTheme="minorHAnsi" w:hAnsiTheme="minorHAnsi" w:cstheme="minorHAnsi"/>
                              </w:rPr>
                            </w:pPr>
                            <w:r w:rsidRPr="005F153F">
                              <w:rPr>
                                <w:rFonts w:asciiTheme="minorHAnsi" w:hAnsiTheme="minorHAnsi" w:cstheme="minorHAnsi"/>
                                <w:color w:val="000000"/>
                              </w:rPr>
                              <w:t>Unfunded clinical research (protected time)</w:t>
                            </w:r>
                          </w:p>
                          <w:p w14:paraId="492E3654" w14:textId="77777777" w:rsidR="0037117F" w:rsidRPr="005F153F" w:rsidRDefault="0037117F" w:rsidP="0037117F">
                            <w:pPr>
                              <w:pStyle w:val="ListParagraph"/>
                              <w:numPr>
                                <w:ilvl w:val="1"/>
                                <w:numId w:val="10"/>
                              </w:numPr>
                              <w:overflowPunct/>
                              <w:autoSpaceDE/>
                              <w:autoSpaceDN/>
                              <w:adjustRightInd/>
                              <w:textAlignment w:val="auto"/>
                              <w:rPr>
                                <w:rFonts w:asciiTheme="minorHAnsi" w:hAnsiTheme="minorHAnsi" w:cstheme="minorHAnsi"/>
                              </w:rPr>
                            </w:pPr>
                            <w:r w:rsidRPr="005F153F">
                              <w:rPr>
                                <w:rFonts w:asciiTheme="minorHAnsi" w:hAnsiTheme="minorHAnsi" w:cstheme="minorHAnsi"/>
                                <w:color w:val="000000"/>
                              </w:rPr>
                              <w:t>Grant/proposal writing</w:t>
                            </w:r>
                          </w:p>
                          <w:p w14:paraId="0CE71A0C" w14:textId="77777777" w:rsidR="006A0BA3" w:rsidRPr="005F153F" w:rsidRDefault="006A0BA3" w:rsidP="0037117F">
                            <w:pPr>
                              <w:pStyle w:val="ListParagraph"/>
                              <w:numPr>
                                <w:ilvl w:val="1"/>
                                <w:numId w:val="10"/>
                              </w:numPr>
                              <w:overflowPunct/>
                              <w:autoSpaceDE/>
                              <w:autoSpaceDN/>
                              <w:adjustRightInd/>
                              <w:textAlignment w:val="auto"/>
                              <w:rPr>
                                <w:rFonts w:asciiTheme="minorHAnsi" w:hAnsiTheme="minorHAnsi" w:cstheme="minorHAnsi"/>
                              </w:rPr>
                            </w:pPr>
                            <w:r w:rsidRPr="005F153F">
                              <w:rPr>
                                <w:rFonts w:asciiTheme="minorHAnsi" w:hAnsiTheme="minorHAnsi" w:cstheme="minorHAnsi"/>
                              </w:rPr>
                              <w:t>Serving on the IRB or other research-oriented committees</w:t>
                            </w:r>
                          </w:p>
                          <w:p w14:paraId="18DEF68F" w14:textId="77777777" w:rsidR="006A0BA3" w:rsidRPr="005F153F" w:rsidRDefault="006A0BA3" w:rsidP="0037117F">
                            <w:pPr>
                              <w:pStyle w:val="ListParagraph"/>
                              <w:numPr>
                                <w:ilvl w:val="1"/>
                                <w:numId w:val="10"/>
                              </w:numPr>
                              <w:overflowPunct/>
                              <w:autoSpaceDE/>
                              <w:autoSpaceDN/>
                              <w:adjustRightInd/>
                              <w:textAlignment w:val="auto"/>
                              <w:rPr>
                                <w:rFonts w:asciiTheme="minorHAnsi" w:hAnsiTheme="minorHAnsi" w:cstheme="minorHAnsi"/>
                              </w:rPr>
                            </w:pPr>
                            <w:r w:rsidRPr="005F153F">
                              <w:rPr>
                                <w:rFonts w:asciiTheme="minorHAnsi" w:hAnsiTheme="minorHAnsi" w:cstheme="minorHAnsi"/>
                              </w:rPr>
                              <w:t>Peer review of grants</w:t>
                            </w:r>
                          </w:p>
                          <w:p w14:paraId="3CA58844" w14:textId="77777777" w:rsidR="0037117F" w:rsidRPr="005F153F" w:rsidRDefault="0037117F" w:rsidP="0037117F">
                            <w:pPr>
                              <w:pStyle w:val="ListParagraph"/>
                              <w:numPr>
                                <w:ilvl w:val="1"/>
                                <w:numId w:val="10"/>
                              </w:numPr>
                              <w:overflowPunct/>
                              <w:autoSpaceDE/>
                              <w:autoSpaceDN/>
                              <w:adjustRightInd/>
                              <w:textAlignment w:val="auto"/>
                              <w:rPr>
                                <w:rFonts w:asciiTheme="minorHAnsi" w:hAnsiTheme="minorHAnsi" w:cstheme="minorHAnsi"/>
                              </w:rPr>
                            </w:pPr>
                            <w:r w:rsidRPr="005F153F">
                              <w:rPr>
                                <w:rFonts w:asciiTheme="minorHAnsi" w:hAnsiTheme="minorHAnsi" w:cstheme="minorHAnsi"/>
                                <w:color w:val="000000"/>
                              </w:rPr>
                              <w:t>Other professional development/scholarly activities (e.g.,</w:t>
                            </w:r>
                            <w:r w:rsidR="00831EB8">
                              <w:rPr>
                                <w:rFonts w:asciiTheme="minorHAnsi" w:hAnsiTheme="minorHAnsi" w:cstheme="minorHAnsi"/>
                                <w:color w:val="000000"/>
                              </w:rPr>
                              <w:t xml:space="preserve"> </w:t>
                            </w:r>
                            <w:r w:rsidRPr="005F153F">
                              <w:rPr>
                                <w:rFonts w:asciiTheme="minorHAnsi" w:hAnsiTheme="minorHAnsi" w:cstheme="minorHAnsi"/>
                                <w:color w:val="000000"/>
                              </w:rPr>
                              <w:t>papers)</w:t>
                            </w:r>
                          </w:p>
                          <w:p w14:paraId="35697B03" w14:textId="77777777" w:rsidR="0037117F" w:rsidRPr="005F153F" w:rsidRDefault="0037117F" w:rsidP="0037117F">
                            <w:pPr>
                              <w:pStyle w:val="NormalWeb"/>
                              <w:spacing w:before="0" w:beforeAutospacing="0" w:after="0" w:afterAutospacing="0"/>
                              <w:rPr>
                                <w:rFonts w:asciiTheme="minorHAnsi" w:hAnsiTheme="minorHAnsi" w:cstheme="minorHAnsi"/>
                                <w:b/>
                                <w:bCs/>
                                <w:color w:val="000000"/>
                                <w:u w:val="single"/>
                              </w:rPr>
                            </w:pPr>
                          </w:p>
                          <w:p w14:paraId="2AA0E18E" w14:textId="77777777" w:rsidR="0037117F" w:rsidRPr="005F153F" w:rsidRDefault="0037117F" w:rsidP="0037117F">
                            <w:pPr>
                              <w:pStyle w:val="NormalWeb"/>
                              <w:spacing w:before="0" w:beforeAutospacing="0" w:after="0" w:afterAutospacing="0"/>
                              <w:rPr>
                                <w:rFonts w:asciiTheme="minorHAnsi" w:hAnsiTheme="minorHAnsi" w:cstheme="minorHAnsi"/>
                              </w:rPr>
                            </w:pPr>
                            <w:r w:rsidRPr="005F153F">
                              <w:rPr>
                                <w:rFonts w:asciiTheme="minorHAnsi" w:hAnsiTheme="minorHAnsi" w:cstheme="minorHAnsi"/>
                                <w:b/>
                                <w:bCs/>
                                <w:color w:val="000000"/>
                                <w:u w:val="single"/>
                              </w:rPr>
                              <w:t>Academics</w:t>
                            </w:r>
                          </w:p>
                          <w:p w14:paraId="78F9D8A7" w14:textId="77777777" w:rsidR="0037117F" w:rsidRPr="005F153F" w:rsidRDefault="0037117F" w:rsidP="0037117F">
                            <w:pPr>
                              <w:pStyle w:val="ListParagraph"/>
                              <w:numPr>
                                <w:ilvl w:val="1"/>
                                <w:numId w:val="11"/>
                              </w:numPr>
                              <w:overflowPunct/>
                              <w:autoSpaceDE/>
                              <w:autoSpaceDN/>
                              <w:adjustRightInd/>
                              <w:textAlignment w:val="auto"/>
                              <w:rPr>
                                <w:rFonts w:asciiTheme="minorHAnsi" w:hAnsiTheme="minorHAnsi" w:cstheme="minorHAnsi"/>
                              </w:rPr>
                            </w:pPr>
                            <w:r w:rsidRPr="005F153F">
                              <w:rPr>
                                <w:rFonts w:asciiTheme="minorHAnsi" w:hAnsiTheme="minorHAnsi" w:cstheme="minorHAnsi"/>
                                <w:color w:val="000000"/>
                              </w:rPr>
                              <w:t>Didactic teaching</w:t>
                            </w:r>
                            <w:r w:rsidR="006A0BA3" w:rsidRPr="005F153F">
                              <w:rPr>
                                <w:rFonts w:asciiTheme="minorHAnsi" w:hAnsiTheme="minorHAnsi" w:cstheme="minorHAnsi"/>
                                <w:color w:val="000000"/>
                              </w:rPr>
                              <w:t xml:space="preserve"> </w:t>
                            </w:r>
                            <w:r w:rsidR="002A77F0" w:rsidRPr="005F153F">
                              <w:rPr>
                                <w:rFonts w:asciiTheme="minorHAnsi" w:hAnsiTheme="minorHAnsi" w:cstheme="minorHAnsi"/>
                                <w:color w:val="000000"/>
                              </w:rPr>
                              <w:t>of GME trainees and preparation for meetings or classroom sessions related to didactic teaching</w:t>
                            </w:r>
                          </w:p>
                          <w:p w14:paraId="23F9773B" w14:textId="77777777" w:rsidR="006A0BA3" w:rsidRPr="005F153F" w:rsidRDefault="006A0BA3" w:rsidP="0037117F">
                            <w:pPr>
                              <w:pStyle w:val="ListParagraph"/>
                              <w:numPr>
                                <w:ilvl w:val="1"/>
                                <w:numId w:val="11"/>
                              </w:numPr>
                              <w:overflowPunct/>
                              <w:autoSpaceDE/>
                              <w:autoSpaceDN/>
                              <w:adjustRightInd/>
                              <w:textAlignment w:val="auto"/>
                              <w:rPr>
                                <w:rFonts w:asciiTheme="minorHAnsi" w:hAnsiTheme="minorHAnsi" w:cstheme="minorHAnsi"/>
                              </w:rPr>
                            </w:pPr>
                            <w:r w:rsidRPr="005F153F">
                              <w:rPr>
                                <w:rFonts w:asciiTheme="minorHAnsi" w:hAnsiTheme="minorHAnsi" w:cstheme="minorHAnsi"/>
                              </w:rPr>
                              <w:t>Extra-departmental teaching or course directorships</w:t>
                            </w:r>
                          </w:p>
                          <w:p w14:paraId="345FCFF3" w14:textId="77777777" w:rsidR="006A0BA3" w:rsidRPr="005F153F" w:rsidRDefault="006A0BA3" w:rsidP="0037117F">
                            <w:pPr>
                              <w:pStyle w:val="ListParagraph"/>
                              <w:numPr>
                                <w:ilvl w:val="1"/>
                                <w:numId w:val="11"/>
                              </w:numPr>
                              <w:overflowPunct/>
                              <w:autoSpaceDE/>
                              <w:autoSpaceDN/>
                              <w:adjustRightInd/>
                              <w:textAlignment w:val="auto"/>
                              <w:rPr>
                                <w:rFonts w:asciiTheme="minorHAnsi" w:hAnsiTheme="minorHAnsi" w:cstheme="minorHAnsi"/>
                              </w:rPr>
                            </w:pPr>
                            <w:r w:rsidRPr="005F153F">
                              <w:rPr>
                                <w:rFonts w:asciiTheme="minorHAnsi" w:hAnsiTheme="minorHAnsi" w:cstheme="minorHAnsi"/>
                              </w:rPr>
                              <w:t>Peer review of journal articles</w:t>
                            </w:r>
                            <w:r w:rsidR="002A77F0" w:rsidRPr="005F153F">
                              <w:rPr>
                                <w:rFonts w:asciiTheme="minorHAnsi" w:hAnsiTheme="minorHAnsi" w:cstheme="minorHAnsi"/>
                              </w:rPr>
                              <w:t>, editing of book chapters and journal articles</w:t>
                            </w:r>
                          </w:p>
                          <w:p w14:paraId="5AB97BFC" w14:textId="77777777" w:rsidR="0037117F" w:rsidRPr="005F153F" w:rsidRDefault="0037117F" w:rsidP="0037117F">
                            <w:pPr>
                              <w:pStyle w:val="ListParagraph"/>
                              <w:numPr>
                                <w:ilvl w:val="1"/>
                                <w:numId w:val="11"/>
                              </w:numPr>
                              <w:overflowPunct/>
                              <w:autoSpaceDE/>
                              <w:autoSpaceDN/>
                              <w:adjustRightInd/>
                              <w:textAlignment w:val="auto"/>
                              <w:rPr>
                                <w:rFonts w:asciiTheme="minorHAnsi" w:hAnsiTheme="minorHAnsi" w:cstheme="minorHAnsi"/>
                              </w:rPr>
                            </w:pPr>
                            <w:r w:rsidRPr="005F153F">
                              <w:rPr>
                                <w:rFonts w:asciiTheme="minorHAnsi" w:hAnsiTheme="minorHAnsi" w:cstheme="minorHAnsi"/>
                                <w:color w:val="000000"/>
                              </w:rPr>
                              <w:t>Lectures</w:t>
                            </w:r>
                            <w:r w:rsidR="002A77F0" w:rsidRPr="005F153F">
                              <w:rPr>
                                <w:rFonts w:asciiTheme="minorHAnsi" w:hAnsiTheme="minorHAnsi" w:cstheme="minorHAnsi"/>
                                <w:color w:val="000000"/>
                              </w:rPr>
                              <w:t>,</w:t>
                            </w:r>
                            <w:r w:rsidRPr="005F153F">
                              <w:rPr>
                                <w:rFonts w:asciiTheme="minorHAnsi" w:hAnsiTheme="minorHAnsi" w:cstheme="minorHAnsi"/>
                                <w:color w:val="000000"/>
                              </w:rPr>
                              <w:t xml:space="preserve"> Grand Rounds</w:t>
                            </w:r>
                            <w:r w:rsidR="002A77F0" w:rsidRPr="005F153F">
                              <w:rPr>
                                <w:rFonts w:asciiTheme="minorHAnsi" w:hAnsiTheme="minorHAnsi" w:cstheme="minorHAnsi"/>
                                <w:color w:val="000000"/>
                              </w:rPr>
                              <w:t xml:space="preserve"> and other CME activities</w:t>
                            </w:r>
                          </w:p>
                          <w:p w14:paraId="18D6632B" w14:textId="77777777" w:rsidR="0037117F" w:rsidRPr="005F153F" w:rsidRDefault="0037117F" w:rsidP="0037117F">
                            <w:pPr>
                              <w:pStyle w:val="ListParagraph"/>
                              <w:numPr>
                                <w:ilvl w:val="1"/>
                                <w:numId w:val="11"/>
                              </w:numPr>
                              <w:overflowPunct/>
                              <w:autoSpaceDE/>
                              <w:autoSpaceDN/>
                              <w:adjustRightInd/>
                              <w:textAlignment w:val="auto"/>
                              <w:rPr>
                                <w:rFonts w:asciiTheme="minorHAnsi" w:hAnsiTheme="minorHAnsi" w:cstheme="minorHAnsi"/>
                              </w:rPr>
                            </w:pPr>
                            <w:r w:rsidRPr="005F153F">
                              <w:rPr>
                                <w:rFonts w:asciiTheme="minorHAnsi" w:hAnsiTheme="minorHAnsi" w:cstheme="minorHAnsi"/>
                                <w:color w:val="000000"/>
                              </w:rPr>
                              <w:t>Student mentoring</w:t>
                            </w:r>
                          </w:p>
                          <w:p w14:paraId="73A71C52" w14:textId="77777777" w:rsidR="0037117F" w:rsidRPr="005F153F" w:rsidRDefault="0037117F" w:rsidP="0037117F">
                            <w:pPr>
                              <w:pStyle w:val="NormalWeb"/>
                              <w:spacing w:before="0" w:beforeAutospacing="0" w:after="0" w:afterAutospacing="0"/>
                              <w:rPr>
                                <w:rFonts w:asciiTheme="minorHAnsi" w:hAnsiTheme="minorHAnsi" w:cstheme="minorHAnsi"/>
                                <w:b/>
                                <w:bCs/>
                                <w:color w:val="000000"/>
                                <w:u w:val="single"/>
                              </w:rPr>
                            </w:pPr>
                          </w:p>
                          <w:p w14:paraId="6CF65C5D" w14:textId="77777777" w:rsidR="0037117F" w:rsidRPr="005F153F" w:rsidRDefault="0037117F" w:rsidP="0037117F">
                            <w:pPr>
                              <w:pStyle w:val="NormalWeb"/>
                              <w:spacing w:before="0" w:beforeAutospacing="0" w:after="0" w:afterAutospacing="0"/>
                              <w:rPr>
                                <w:rFonts w:asciiTheme="minorHAnsi" w:hAnsiTheme="minorHAnsi" w:cstheme="minorHAnsi"/>
                              </w:rPr>
                            </w:pPr>
                            <w:r w:rsidRPr="005F153F">
                              <w:rPr>
                                <w:rFonts w:asciiTheme="minorHAnsi" w:hAnsiTheme="minorHAnsi" w:cstheme="minorHAnsi"/>
                                <w:b/>
                                <w:bCs/>
                                <w:color w:val="000000"/>
                                <w:u w:val="single"/>
                              </w:rPr>
                              <w:t>Contract/other</w:t>
                            </w:r>
                          </w:p>
                          <w:p w14:paraId="42424F40" w14:textId="77777777" w:rsidR="0037117F" w:rsidRPr="005F153F" w:rsidRDefault="0037117F" w:rsidP="0037117F">
                            <w:pPr>
                              <w:pStyle w:val="ListParagraph"/>
                              <w:numPr>
                                <w:ilvl w:val="1"/>
                                <w:numId w:val="12"/>
                              </w:numPr>
                              <w:overflowPunct/>
                              <w:autoSpaceDE/>
                              <w:autoSpaceDN/>
                              <w:adjustRightInd/>
                              <w:textAlignment w:val="auto"/>
                              <w:rPr>
                                <w:rFonts w:asciiTheme="minorHAnsi" w:hAnsiTheme="minorHAnsi" w:cstheme="minorHAnsi"/>
                              </w:rPr>
                            </w:pPr>
                            <w:r w:rsidRPr="005F153F">
                              <w:rPr>
                                <w:rFonts w:asciiTheme="minorHAnsi" w:hAnsiTheme="minorHAnsi" w:cstheme="minorHAnsi"/>
                                <w:color w:val="000000"/>
                              </w:rPr>
                              <w:t>External health systems contract with UR for professional services.  Although this faculty effort might relate to clinical effort, if UR does not bill and collect for these professional services (e.g., faculty time purchased at an hourly rate), and individual faculty are not credited with collections and WRVUs, then this effort should be tracked separately.</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ACF4C94" id="_x0000_t202" coordsize="21600,21600" o:spt="202" path="m,l,21600r21600,l21600,xe">
                <v:stroke joinstyle="miter"/>
                <v:path gradientshapeok="t" o:connecttype="rect"/>
              </v:shapetype>
              <v:shape id="TextBox 4" o:spid="_x0000_s1026" type="#_x0000_t202" style="position:absolute;margin-left:0;margin-top:2.8pt;width:511.5pt;height:66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" filled="f" stroked="f">
                <v:textbox>
                  <w:txbxContent>
                    <w:p w14:paraId="5700DC46" w14:textId="77777777" w:rsidR="0037117F" w:rsidRDefault="0037117F" w:rsidP="0037117F">
                      <w:pPr>
                        <w:pStyle w:val="NormalWeb"/>
                        <w:spacing w:before="0" w:beforeAutospacing="0" w:after="0" w:afterAutospacing="0"/>
                      </w:pPr>
                      <w:r>
                        <w:rPr>
                          <w:rFonts w:asciiTheme="minorHAnsi" w:hAnsi="Calibri" w:cstheme="minorBidi"/>
                          <w:b/>
                          <w:bCs/>
                          <w:color w:val="000000"/>
                          <w:u w:val="single"/>
                        </w:rPr>
                        <w:t>Clinical</w:t>
                      </w:r>
                    </w:p>
                    <w:p w14:paraId="570F4DE8" w14:textId="77777777" w:rsidR="0037117F" w:rsidRPr="00AD1ABA" w:rsidRDefault="0037117F" w:rsidP="0037117F">
                      <w:pPr>
                        <w:pStyle w:val="ListParagraph"/>
                        <w:numPr>
                          <w:ilvl w:val="1"/>
                          <w:numId w:val="8"/>
                        </w:numPr>
                        <w:overflowPunct/>
                        <w:autoSpaceDE/>
                        <w:autoSpaceDN/>
                        <w:adjustRightInd/>
                        <w:textAlignment w:val="auto"/>
                        <w:rPr>
                          <w:rFonts w:asciiTheme="minorHAnsi" w:hAnsiTheme="minorHAnsi" w:cstheme="minorHAnsi"/>
                        </w:rPr>
                      </w:pPr>
                      <w:r>
                        <w:rPr>
                          <w:rFonts w:asciiTheme="minorHAnsi" w:hAnsi="Calibri" w:cstheme="minorBidi"/>
                          <w:color w:val="000000"/>
                        </w:rPr>
                        <w:t xml:space="preserve">All billable physician activity (surgical time, scheduled clinics, inpatient services, </w:t>
                      </w:r>
                      <w:r w:rsidRPr="00AD1ABA">
                        <w:rPr>
                          <w:rFonts w:asciiTheme="minorHAnsi" w:hAnsiTheme="minorHAnsi" w:cstheme="minorHAnsi"/>
                          <w:color w:val="000000"/>
                        </w:rPr>
                        <w:t xml:space="preserve">hospital rounding), including activities with learners present </w:t>
                      </w:r>
                      <w:r w:rsidR="006A0BA3">
                        <w:rPr>
                          <w:rFonts w:asciiTheme="minorHAnsi" w:hAnsiTheme="minorHAnsi" w:cstheme="minorHAnsi"/>
                          <w:color w:val="000000"/>
                        </w:rPr>
                        <w:t>and care to patients enrolled on clinical trials</w:t>
                      </w:r>
                    </w:p>
                    <w:p w14:paraId="012CAD61" w14:textId="77777777" w:rsidR="006A0BA3" w:rsidRPr="00AD1ABA" w:rsidRDefault="006A0BA3" w:rsidP="0037117F">
                      <w:pPr>
                        <w:pStyle w:val="ListParagraph"/>
                        <w:numPr>
                          <w:ilvl w:val="1"/>
                          <w:numId w:val="8"/>
                        </w:numPr>
                        <w:overflowPunct/>
                        <w:autoSpaceDE/>
                        <w:autoSpaceDN/>
                        <w:adjustRightInd/>
                        <w:textAlignment w:val="auto"/>
                        <w:rPr>
                          <w:rFonts w:asciiTheme="minorHAnsi" w:hAnsiTheme="minorHAnsi" w:cstheme="minorHAnsi"/>
                        </w:rPr>
                      </w:pPr>
                      <w:r>
                        <w:rPr>
                          <w:rFonts w:asciiTheme="minorHAnsi" w:hAnsiTheme="minorHAnsi" w:cstheme="minorHAnsi"/>
                        </w:rPr>
                        <w:t>Phone calls/telemedicine visits with patients, caregivers and other providers even when not billed by the provider</w:t>
                      </w:r>
                    </w:p>
                    <w:p w14:paraId="2A040B87" w14:textId="77777777" w:rsidR="0037117F" w:rsidRPr="00AD1ABA" w:rsidRDefault="0037117F" w:rsidP="0037117F">
                      <w:pPr>
                        <w:pStyle w:val="ListParagraph"/>
                        <w:numPr>
                          <w:ilvl w:val="1"/>
                          <w:numId w:val="8"/>
                        </w:numPr>
                        <w:overflowPunct/>
                        <w:autoSpaceDE/>
                        <w:autoSpaceDN/>
                        <w:adjustRightInd/>
                        <w:textAlignment w:val="auto"/>
                        <w:rPr>
                          <w:rFonts w:asciiTheme="minorHAnsi" w:hAnsiTheme="minorHAnsi" w:cstheme="minorHAnsi"/>
                        </w:rPr>
                      </w:pPr>
                      <w:r w:rsidRPr="00AD1ABA">
                        <w:rPr>
                          <w:rFonts w:asciiTheme="minorHAnsi" w:hAnsiTheme="minorHAnsi" w:cstheme="minorHAnsi"/>
                          <w:color w:val="000000"/>
                        </w:rPr>
                        <w:t>Direct patient contact</w:t>
                      </w:r>
                    </w:p>
                    <w:p w14:paraId="783AF0BD" w14:textId="77777777" w:rsidR="00186581" w:rsidRPr="00AD1ABA" w:rsidRDefault="00186581" w:rsidP="0037117F">
                      <w:pPr>
                        <w:pStyle w:val="ListParagraph"/>
                        <w:numPr>
                          <w:ilvl w:val="1"/>
                          <w:numId w:val="8"/>
                        </w:numPr>
                        <w:overflowPunct/>
                        <w:autoSpaceDE/>
                        <w:autoSpaceDN/>
                        <w:adjustRightInd/>
                        <w:textAlignment w:val="auto"/>
                        <w:rPr>
                          <w:rFonts w:asciiTheme="minorHAnsi" w:hAnsiTheme="minorHAnsi" w:cstheme="minorHAnsi"/>
                        </w:rPr>
                      </w:pPr>
                      <w:r w:rsidRPr="00AD1ABA">
                        <w:rPr>
                          <w:rFonts w:asciiTheme="minorHAnsi" w:hAnsiTheme="minorHAnsi" w:cstheme="minorHAnsi"/>
                        </w:rPr>
                        <w:t>Interpretation of diagnostic clinical data relating to the care of a patient</w:t>
                      </w:r>
                    </w:p>
                    <w:p w14:paraId="08327EEF" w14:textId="77777777" w:rsidR="0037117F" w:rsidRDefault="0037117F" w:rsidP="0037117F">
                      <w:pPr>
                        <w:pStyle w:val="ListParagraph"/>
                        <w:numPr>
                          <w:ilvl w:val="1"/>
                          <w:numId w:val="8"/>
                        </w:numPr>
                        <w:overflowPunct/>
                        <w:autoSpaceDE/>
                        <w:autoSpaceDN/>
                        <w:adjustRightInd/>
                        <w:textAlignment w:val="auto"/>
                      </w:pPr>
                      <w:r>
                        <w:rPr>
                          <w:rFonts w:asciiTheme="minorHAnsi" w:hAnsi="Calibri" w:cstheme="minorBidi"/>
                          <w:color w:val="000000"/>
                        </w:rPr>
                        <w:t>Indigent care</w:t>
                      </w:r>
                    </w:p>
                    <w:p w14:paraId="143C40DD" w14:textId="77777777" w:rsidR="0037117F" w:rsidRDefault="006A0BA3" w:rsidP="0037117F">
                      <w:pPr>
                        <w:pStyle w:val="ListParagraph"/>
                        <w:numPr>
                          <w:ilvl w:val="1"/>
                          <w:numId w:val="8"/>
                        </w:numPr>
                        <w:overflowPunct/>
                        <w:autoSpaceDE/>
                        <w:autoSpaceDN/>
                        <w:adjustRightInd/>
                        <w:textAlignment w:val="auto"/>
                      </w:pPr>
                      <w:r>
                        <w:rPr>
                          <w:rFonts w:asciiTheme="minorHAnsi" w:hAnsi="Calibri" w:cstheme="minorBidi"/>
                          <w:color w:val="000000"/>
                        </w:rPr>
                        <w:t>Care coordination and s</w:t>
                      </w:r>
                      <w:r w:rsidR="0037117F">
                        <w:rPr>
                          <w:rFonts w:asciiTheme="minorHAnsi" w:hAnsi="Calibri" w:cstheme="minorBidi"/>
                          <w:color w:val="000000"/>
                        </w:rPr>
                        <w:t>upervision of residents/fellows</w:t>
                      </w:r>
                      <w:r>
                        <w:rPr>
                          <w:rFonts w:asciiTheme="minorHAnsi" w:hAnsi="Calibri" w:cstheme="minorBidi"/>
                          <w:color w:val="000000"/>
                        </w:rPr>
                        <w:t>, RNs and APPs</w:t>
                      </w:r>
                      <w:r w:rsidR="0037117F">
                        <w:rPr>
                          <w:rFonts w:asciiTheme="minorHAnsi" w:hAnsi="Calibri" w:cstheme="minorBidi"/>
                          <w:color w:val="000000"/>
                        </w:rPr>
                        <w:t xml:space="preserve"> while seeing patients</w:t>
                      </w:r>
                    </w:p>
                    <w:p w14:paraId="66910DF0" w14:textId="77777777" w:rsidR="0037117F" w:rsidRPr="005F153F" w:rsidRDefault="0037117F" w:rsidP="0037117F">
                      <w:pPr>
                        <w:pStyle w:val="ListParagraph"/>
                        <w:numPr>
                          <w:ilvl w:val="1"/>
                          <w:numId w:val="8"/>
                        </w:numPr>
                        <w:overflowPunct/>
                        <w:autoSpaceDE/>
                        <w:autoSpaceDN/>
                        <w:adjustRightInd/>
                        <w:textAlignment w:val="auto"/>
                        <w:rPr>
                          <w:rFonts w:asciiTheme="minorHAnsi" w:hAnsiTheme="minorHAnsi" w:cstheme="minorHAnsi"/>
                        </w:rPr>
                      </w:pPr>
                      <w:r>
                        <w:rPr>
                          <w:rFonts w:asciiTheme="minorHAnsi" w:hAnsi="Calibri" w:cstheme="minorBidi"/>
                          <w:color w:val="000000"/>
                        </w:rPr>
                        <w:t>Chart rev</w:t>
                      </w:r>
                      <w:r w:rsidRPr="00AD1ABA">
                        <w:rPr>
                          <w:rFonts w:asciiTheme="minorHAnsi" w:hAnsiTheme="minorHAnsi" w:cstheme="minorHAnsi"/>
                          <w:color w:val="000000"/>
                        </w:rPr>
                        <w:t xml:space="preserve">iew, documentation, </w:t>
                      </w:r>
                      <w:r w:rsidR="006A0BA3" w:rsidRPr="00AD1ABA">
                        <w:rPr>
                          <w:rFonts w:asciiTheme="minorHAnsi" w:hAnsiTheme="minorHAnsi" w:cstheme="minorHAnsi"/>
                          <w:color w:val="000000"/>
                        </w:rPr>
                        <w:t xml:space="preserve">preparing and signing orders, review and signature of home health care paperwork, </w:t>
                      </w:r>
                      <w:r w:rsidRPr="00AD1ABA">
                        <w:rPr>
                          <w:rFonts w:asciiTheme="minorHAnsi" w:hAnsiTheme="minorHAnsi" w:cstheme="minorHAnsi"/>
                          <w:color w:val="000000"/>
                        </w:rPr>
                        <w:t>and other office work related to clinical activity</w:t>
                      </w:r>
                    </w:p>
                    <w:p w14:paraId="65D09E1B" w14:textId="77777777" w:rsidR="006A0BA3" w:rsidRPr="00AD1ABA" w:rsidRDefault="006A0BA3" w:rsidP="0037117F">
                      <w:pPr>
                        <w:pStyle w:val="ListParagraph"/>
                        <w:numPr>
                          <w:ilvl w:val="1"/>
                          <w:numId w:val="8"/>
                        </w:numPr>
                        <w:overflowPunct/>
                        <w:autoSpaceDE/>
                        <w:autoSpaceDN/>
                        <w:adjustRightInd/>
                        <w:textAlignment w:val="auto"/>
                        <w:rPr>
                          <w:rFonts w:asciiTheme="minorHAnsi" w:hAnsiTheme="minorHAnsi" w:cstheme="minorHAnsi"/>
                        </w:rPr>
                      </w:pPr>
                      <w:r w:rsidRPr="00AD1ABA">
                        <w:rPr>
                          <w:rFonts w:asciiTheme="minorHAnsi" w:hAnsiTheme="minorHAnsi" w:cstheme="minorHAnsi"/>
                        </w:rPr>
                        <w:t>Meetings focused on review and recommendations on individual patients</w:t>
                      </w:r>
                    </w:p>
                    <w:p w14:paraId="0F4E5D8F" w14:textId="77777777" w:rsidR="0037117F" w:rsidRDefault="0037117F" w:rsidP="0037117F">
                      <w:pPr>
                        <w:pStyle w:val="NormalWeb"/>
                        <w:spacing w:before="0" w:beforeAutospacing="0" w:after="0" w:afterAutospacing="0"/>
                        <w:rPr>
                          <w:rFonts w:asciiTheme="minorHAnsi" w:hAnsi="Calibri" w:cstheme="minorBidi"/>
                          <w:b/>
                          <w:bCs/>
                          <w:color w:val="000000"/>
                          <w:u w:val="single"/>
                        </w:rPr>
                      </w:pPr>
                    </w:p>
                    <w:p w14:paraId="4C67F211" w14:textId="77777777" w:rsidR="0037117F" w:rsidRPr="00AD1ABA" w:rsidRDefault="0037117F" w:rsidP="0037117F">
                      <w:pPr>
                        <w:pStyle w:val="NormalWeb"/>
                        <w:spacing w:before="0" w:beforeAutospacing="0" w:after="0" w:afterAutospacing="0"/>
                        <w:rPr>
                          <w:rFonts w:asciiTheme="minorHAnsi" w:hAnsiTheme="minorHAnsi" w:cstheme="minorHAnsi"/>
                          <w:b/>
                          <w:bCs/>
                          <w:color w:val="000000"/>
                          <w:u w:val="single"/>
                        </w:rPr>
                      </w:pPr>
                      <w:r>
                        <w:rPr>
                          <w:rFonts w:asciiTheme="minorHAnsi" w:hAnsi="Calibri" w:cstheme="minorBidi"/>
                          <w:b/>
                          <w:bCs/>
                          <w:color w:val="000000"/>
                          <w:u w:val="single"/>
                        </w:rPr>
                        <w:t>Administration</w:t>
                      </w:r>
                    </w:p>
                    <w:p w14:paraId="4ABE5C14" w14:textId="77777777" w:rsidR="0037117F" w:rsidRPr="00AD1ABA" w:rsidRDefault="0037117F" w:rsidP="0037117F">
                      <w:pPr>
                        <w:pStyle w:val="ListParagraph"/>
                        <w:numPr>
                          <w:ilvl w:val="1"/>
                          <w:numId w:val="9"/>
                        </w:numPr>
                        <w:overflowPunct/>
                        <w:autoSpaceDE/>
                        <w:autoSpaceDN/>
                        <w:adjustRightInd/>
                        <w:textAlignment w:val="auto"/>
                        <w:rPr>
                          <w:rFonts w:asciiTheme="minorHAnsi" w:hAnsiTheme="minorHAnsi" w:cstheme="minorHAnsi"/>
                        </w:rPr>
                      </w:pPr>
                      <w:r w:rsidRPr="00AD1ABA">
                        <w:rPr>
                          <w:rFonts w:asciiTheme="minorHAnsi" w:hAnsiTheme="minorHAnsi" w:cstheme="minorHAnsi"/>
                          <w:color w:val="000000"/>
                        </w:rPr>
                        <w:t>Department chair or chief duties</w:t>
                      </w:r>
                    </w:p>
                    <w:p w14:paraId="03DF464F" w14:textId="77777777" w:rsidR="0037117F" w:rsidRPr="005F153F" w:rsidRDefault="0037117F" w:rsidP="0037117F">
                      <w:pPr>
                        <w:pStyle w:val="ListParagraph"/>
                        <w:numPr>
                          <w:ilvl w:val="1"/>
                          <w:numId w:val="9"/>
                        </w:numPr>
                        <w:overflowPunct/>
                        <w:autoSpaceDE/>
                        <w:autoSpaceDN/>
                        <w:adjustRightInd/>
                        <w:textAlignment w:val="auto"/>
                        <w:rPr>
                          <w:rFonts w:asciiTheme="minorHAnsi" w:hAnsiTheme="minorHAnsi" w:cstheme="minorHAnsi"/>
                        </w:rPr>
                      </w:pPr>
                      <w:r w:rsidRPr="005F153F">
                        <w:rPr>
                          <w:rFonts w:asciiTheme="minorHAnsi" w:hAnsiTheme="minorHAnsi" w:cstheme="minorHAnsi"/>
                          <w:color w:val="000000"/>
                        </w:rPr>
                        <w:t>GME program administration</w:t>
                      </w:r>
                    </w:p>
                    <w:p w14:paraId="2798EC6A" w14:textId="77777777" w:rsidR="0037117F" w:rsidRPr="005F153F" w:rsidRDefault="0037117F" w:rsidP="0037117F">
                      <w:pPr>
                        <w:pStyle w:val="ListParagraph"/>
                        <w:numPr>
                          <w:ilvl w:val="1"/>
                          <w:numId w:val="9"/>
                        </w:numPr>
                        <w:overflowPunct/>
                        <w:autoSpaceDE/>
                        <w:autoSpaceDN/>
                        <w:adjustRightInd/>
                        <w:textAlignment w:val="auto"/>
                        <w:rPr>
                          <w:rFonts w:asciiTheme="minorHAnsi" w:hAnsiTheme="minorHAnsi" w:cstheme="minorHAnsi"/>
                        </w:rPr>
                      </w:pPr>
                      <w:r w:rsidRPr="005F153F">
                        <w:rPr>
                          <w:rFonts w:asciiTheme="minorHAnsi" w:hAnsiTheme="minorHAnsi" w:cstheme="minorHAnsi"/>
                          <w:color w:val="000000"/>
                        </w:rPr>
                        <w:t>Medical director activities</w:t>
                      </w:r>
                    </w:p>
                    <w:p w14:paraId="30B25C53" w14:textId="77777777" w:rsidR="006A0BA3" w:rsidRPr="005F153F" w:rsidRDefault="006A0BA3" w:rsidP="0037117F">
                      <w:pPr>
                        <w:pStyle w:val="ListParagraph"/>
                        <w:numPr>
                          <w:ilvl w:val="1"/>
                          <w:numId w:val="9"/>
                        </w:numPr>
                        <w:overflowPunct/>
                        <w:autoSpaceDE/>
                        <w:autoSpaceDN/>
                        <w:adjustRightInd/>
                        <w:textAlignment w:val="auto"/>
                        <w:rPr>
                          <w:rFonts w:asciiTheme="minorHAnsi" w:hAnsiTheme="minorHAnsi" w:cstheme="minorHAnsi"/>
                        </w:rPr>
                      </w:pPr>
                      <w:r w:rsidRPr="005F153F">
                        <w:rPr>
                          <w:rFonts w:asciiTheme="minorHAnsi" w:hAnsiTheme="minorHAnsi" w:cstheme="minorHAnsi"/>
                        </w:rPr>
                        <w:t>EPIC Physician Builder role activities</w:t>
                      </w:r>
                    </w:p>
                    <w:p w14:paraId="458CB05F" w14:textId="77777777" w:rsidR="006A0BA3" w:rsidRPr="005F153F" w:rsidRDefault="006A0BA3" w:rsidP="0037117F">
                      <w:pPr>
                        <w:pStyle w:val="ListParagraph"/>
                        <w:numPr>
                          <w:ilvl w:val="1"/>
                          <w:numId w:val="9"/>
                        </w:numPr>
                        <w:overflowPunct/>
                        <w:autoSpaceDE/>
                        <w:autoSpaceDN/>
                        <w:adjustRightInd/>
                        <w:textAlignment w:val="auto"/>
                        <w:rPr>
                          <w:rFonts w:asciiTheme="minorHAnsi" w:hAnsiTheme="minorHAnsi" w:cstheme="minorHAnsi"/>
                        </w:rPr>
                      </w:pPr>
                      <w:r w:rsidRPr="005F153F">
                        <w:rPr>
                          <w:rFonts w:asciiTheme="minorHAnsi" w:hAnsiTheme="minorHAnsi" w:cstheme="minorHAnsi"/>
                        </w:rPr>
                        <w:t>Supervision of professional or technical staff (excluding GME trainees) while not providing patient care</w:t>
                      </w:r>
                    </w:p>
                    <w:p w14:paraId="41570CA5" w14:textId="77777777" w:rsidR="006A0BA3" w:rsidRPr="005F153F" w:rsidRDefault="006A0BA3" w:rsidP="0037117F">
                      <w:pPr>
                        <w:pStyle w:val="ListParagraph"/>
                        <w:numPr>
                          <w:ilvl w:val="1"/>
                          <w:numId w:val="9"/>
                        </w:numPr>
                        <w:overflowPunct/>
                        <w:autoSpaceDE/>
                        <w:autoSpaceDN/>
                        <w:adjustRightInd/>
                        <w:textAlignment w:val="auto"/>
                        <w:rPr>
                          <w:rFonts w:asciiTheme="minorHAnsi" w:hAnsiTheme="minorHAnsi" w:cstheme="minorHAnsi"/>
                        </w:rPr>
                      </w:pPr>
                      <w:r w:rsidRPr="005F153F">
                        <w:rPr>
                          <w:rFonts w:asciiTheme="minorHAnsi" w:hAnsiTheme="minorHAnsi" w:cstheme="minorHAnsi"/>
                        </w:rPr>
                        <w:t>Preparation for and attendance at internal administrative meetings</w:t>
                      </w:r>
                    </w:p>
                    <w:p w14:paraId="438CF181" w14:textId="77777777" w:rsidR="006A0BA3" w:rsidRPr="005F153F" w:rsidRDefault="006A0BA3">
                      <w:pPr>
                        <w:pStyle w:val="ListParagraph"/>
                        <w:numPr>
                          <w:ilvl w:val="1"/>
                          <w:numId w:val="9"/>
                        </w:numPr>
                        <w:overflowPunct/>
                        <w:autoSpaceDE/>
                        <w:autoSpaceDN/>
                        <w:adjustRightInd/>
                        <w:textAlignment w:val="auto"/>
                        <w:rPr>
                          <w:rFonts w:asciiTheme="minorHAnsi" w:hAnsiTheme="minorHAnsi" w:cstheme="minorHAnsi"/>
                        </w:rPr>
                      </w:pPr>
                      <w:r w:rsidRPr="005F153F">
                        <w:rPr>
                          <w:rFonts w:asciiTheme="minorHAnsi" w:hAnsiTheme="minorHAnsi" w:cstheme="minorHAnsi"/>
                        </w:rPr>
                        <w:t>Quality Assurance, Diversity and Inclusion, Regulatory, and other activities</w:t>
                      </w:r>
                    </w:p>
                    <w:p w14:paraId="1119BA5B" w14:textId="77777777" w:rsidR="0037117F" w:rsidRPr="005F153F" w:rsidRDefault="0037117F" w:rsidP="0037117F">
                      <w:pPr>
                        <w:pStyle w:val="ListParagraph"/>
                        <w:numPr>
                          <w:ilvl w:val="1"/>
                          <w:numId w:val="9"/>
                        </w:numPr>
                        <w:overflowPunct/>
                        <w:autoSpaceDE/>
                        <w:autoSpaceDN/>
                        <w:adjustRightInd/>
                        <w:textAlignment w:val="auto"/>
                        <w:rPr>
                          <w:rFonts w:asciiTheme="minorHAnsi" w:hAnsiTheme="minorHAnsi" w:cstheme="minorHAnsi"/>
                        </w:rPr>
                      </w:pPr>
                      <w:r w:rsidRPr="005F153F">
                        <w:rPr>
                          <w:rFonts w:asciiTheme="minorHAnsi" w:hAnsiTheme="minorHAnsi" w:cstheme="minorHAnsi"/>
                          <w:color w:val="000000"/>
                        </w:rPr>
                        <w:t>Other specified and defined time for hospital or practice administration</w:t>
                      </w:r>
                    </w:p>
                    <w:p w14:paraId="230EFC64" w14:textId="77777777" w:rsidR="0037117F" w:rsidRPr="005F153F" w:rsidRDefault="0037117F" w:rsidP="0037117F">
                      <w:pPr>
                        <w:pStyle w:val="NormalWeb"/>
                        <w:spacing w:before="0" w:beforeAutospacing="0" w:after="0" w:afterAutospacing="0"/>
                        <w:rPr>
                          <w:rFonts w:asciiTheme="minorHAnsi" w:hAnsiTheme="minorHAnsi" w:cstheme="minorHAnsi"/>
                          <w:b/>
                          <w:bCs/>
                          <w:color w:val="000000"/>
                          <w:u w:val="single"/>
                        </w:rPr>
                      </w:pPr>
                    </w:p>
                    <w:p w14:paraId="10F55F2C" w14:textId="77777777" w:rsidR="0037117F" w:rsidRPr="005F153F" w:rsidRDefault="0037117F" w:rsidP="0037117F">
                      <w:pPr>
                        <w:pStyle w:val="NormalWeb"/>
                        <w:spacing w:before="0" w:beforeAutospacing="0" w:after="0" w:afterAutospacing="0"/>
                        <w:rPr>
                          <w:rFonts w:asciiTheme="minorHAnsi" w:hAnsiTheme="minorHAnsi" w:cstheme="minorHAnsi"/>
                        </w:rPr>
                      </w:pPr>
                      <w:r w:rsidRPr="005F153F">
                        <w:rPr>
                          <w:rFonts w:asciiTheme="minorHAnsi" w:hAnsiTheme="minorHAnsi" w:cstheme="minorHAnsi"/>
                          <w:b/>
                          <w:bCs/>
                          <w:color w:val="000000"/>
                          <w:u w:val="single"/>
                        </w:rPr>
                        <w:t>Research</w:t>
                      </w:r>
                    </w:p>
                    <w:p w14:paraId="3050E278" w14:textId="77777777" w:rsidR="0037117F" w:rsidRPr="005F153F" w:rsidRDefault="0037117F" w:rsidP="0037117F">
                      <w:pPr>
                        <w:pStyle w:val="ListParagraph"/>
                        <w:numPr>
                          <w:ilvl w:val="1"/>
                          <w:numId w:val="10"/>
                        </w:numPr>
                        <w:overflowPunct/>
                        <w:autoSpaceDE/>
                        <w:autoSpaceDN/>
                        <w:adjustRightInd/>
                        <w:textAlignment w:val="auto"/>
                        <w:rPr>
                          <w:rFonts w:asciiTheme="minorHAnsi" w:hAnsiTheme="minorHAnsi" w:cstheme="minorHAnsi"/>
                        </w:rPr>
                      </w:pPr>
                      <w:r w:rsidRPr="005F153F">
                        <w:rPr>
                          <w:rFonts w:asciiTheme="minorHAnsi" w:hAnsiTheme="minorHAnsi" w:cstheme="minorHAnsi"/>
                          <w:color w:val="000000"/>
                        </w:rPr>
                        <w:t>Funded research activity (salary supported by grant)</w:t>
                      </w:r>
                      <w:r w:rsidR="006A0BA3" w:rsidRPr="005F153F">
                        <w:rPr>
                          <w:rFonts w:asciiTheme="minorHAnsi" w:hAnsiTheme="minorHAnsi" w:cstheme="minorHAnsi"/>
                          <w:color w:val="000000"/>
                        </w:rPr>
                        <w:t xml:space="preserve">, including foundational work to establish feasibility/baseline data, activities maintaining compliance around specific research projects, data collection and analysis, writing progress reports or papers on specific research projects, and supervising staff/mentoring trainees in a specific project </w:t>
                      </w:r>
                    </w:p>
                    <w:p w14:paraId="2A0CD403" w14:textId="77777777" w:rsidR="0037117F" w:rsidRPr="005F153F" w:rsidRDefault="0037117F" w:rsidP="0037117F">
                      <w:pPr>
                        <w:pStyle w:val="ListParagraph"/>
                        <w:numPr>
                          <w:ilvl w:val="1"/>
                          <w:numId w:val="10"/>
                        </w:numPr>
                        <w:overflowPunct/>
                        <w:autoSpaceDE/>
                        <w:autoSpaceDN/>
                        <w:adjustRightInd/>
                        <w:textAlignment w:val="auto"/>
                        <w:rPr>
                          <w:rFonts w:asciiTheme="minorHAnsi" w:hAnsiTheme="minorHAnsi" w:cstheme="minorHAnsi"/>
                        </w:rPr>
                      </w:pPr>
                      <w:r w:rsidRPr="005F153F">
                        <w:rPr>
                          <w:rFonts w:asciiTheme="minorHAnsi" w:hAnsiTheme="minorHAnsi" w:cstheme="minorHAnsi"/>
                          <w:color w:val="000000"/>
                        </w:rPr>
                        <w:t>Unfunded clinical research (protected time)</w:t>
                      </w:r>
                    </w:p>
                    <w:p w14:paraId="492E3654" w14:textId="77777777" w:rsidR="0037117F" w:rsidRPr="005F153F" w:rsidRDefault="0037117F" w:rsidP="0037117F">
                      <w:pPr>
                        <w:pStyle w:val="ListParagraph"/>
                        <w:numPr>
                          <w:ilvl w:val="1"/>
                          <w:numId w:val="10"/>
                        </w:numPr>
                        <w:overflowPunct/>
                        <w:autoSpaceDE/>
                        <w:autoSpaceDN/>
                        <w:adjustRightInd/>
                        <w:textAlignment w:val="auto"/>
                        <w:rPr>
                          <w:rFonts w:asciiTheme="minorHAnsi" w:hAnsiTheme="minorHAnsi" w:cstheme="minorHAnsi"/>
                        </w:rPr>
                      </w:pPr>
                      <w:r w:rsidRPr="005F153F">
                        <w:rPr>
                          <w:rFonts w:asciiTheme="minorHAnsi" w:hAnsiTheme="minorHAnsi" w:cstheme="minorHAnsi"/>
                          <w:color w:val="000000"/>
                        </w:rPr>
                        <w:t>Grant/proposal writing</w:t>
                      </w:r>
                    </w:p>
                    <w:p w14:paraId="0CE71A0C" w14:textId="77777777" w:rsidR="006A0BA3" w:rsidRPr="005F153F" w:rsidRDefault="006A0BA3" w:rsidP="0037117F">
                      <w:pPr>
                        <w:pStyle w:val="ListParagraph"/>
                        <w:numPr>
                          <w:ilvl w:val="1"/>
                          <w:numId w:val="10"/>
                        </w:numPr>
                        <w:overflowPunct/>
                        <w:autoSpaceDE/>
                        <w:autoSpaceDN/>
                        <w:adjustRightInd/>
                        <w:textAlignment w:val="auto"/>
                        <w:rPr>
                          <w:rFonts w:asciiTheme="minorHAnsi" w:hAnsiTheme="minorHAnsi" w:cstheme="minorHAnsi"/>
                        </w:rPr>
                      </w:pPr>
                      <w:r w:rsidRPr="005F153F">
                        <w:rPr>
                          <w:rFonts w:asciiTheme="minorHAnsi" w:hAnsiTheme="minorHAnsi" w:cstheme="minorHAnsi"/>
                        </w:rPr>
                        <w:t>Serving on the IRB or other research-oriented committees</w:t>
                      </w:r>
                    </w:p>
                    <w:p w14:paraId="18DEF68F" w14:textId="77777777" w:rsidR="006A0BA3" w:rsidRPr="005F153F" w:rsidRDefault="006A0BA3" w:rsidP="0037117F">
                      <w:pPr>
                        <w:pStyle w:val="ListParagraph"/>
                        <w:numPr>
                          <w:ilvl w:val="1"/>
                          <w:numId w:val="10"/>
                        </w:numPr>
                        <w:overflowPunct/>
                        <w:autoSpaceDE/>
                        <w:autoSpaceDN/>
                        <w:adjustRightInd/>
                        <w:textAlignment w:val="auto"/>
                        <w:rPr>
                          <w:rFonts w:asciiTheme="minorHAnsi" w:hAnsiTheme="minorHAnsi" w:cstheme="minorHAnsi"/>
                        </w:rPr>
                      </w:pPr>
                      <w:r w:rsidRPr="005F153F">
                        <w:rPr>
                          <w:rFonts w:asciiTheme="minorHAnsi" w:hAnsiTheme="minorHAnsi" w:cstheme="minorHAnsi"/>
                        </w:rPr>
                        <w:t>Peer review of grants</w:t>
                      </w:r>
                    </w:p>
                    <w:p w14:paraId="3CA58844" w14:textId="77777777" w:rsidR="0037117F" w:rsidRPr="005F153F" w:rsidRDefault="0037117F" w:rsidP="0037117F">
                      <w:pPr>
                        <w:pStyle w:val="ListParagraph"/>
                        <w:numPr>
                          <w:ilvl w:val="1"/>
                          <w:numId w:val="10"/>
                        </w:numPr>
                        <w:overflowPunct/>
                        <w:autoSpaceDE/>
                        <w:autoSpaceDN/>
                        <w:adjustRightInd/>
                        <w:textAlignment w:val="auto"/>
                        <w:rPr>
                          <w:rFonts w:asciiTheme="minorHAnsi" w:hAnsiTheme="minorHAnsi" w:cstheme="minorHAnsi"/>
                        </w:rPr>
                      </w:pPr>
                      <w:r w:rsidRPr="005F153F">
                        <w:rPr>
                          <w:rFonts w:asciiTheme="minorHAnsi" w:hAnsiTheme="minorHAnsi" w:cstheme="minorHAnsi"/>
                          <w:color w:val="000000"/>
                        </w:rPr>
                        <w:t>Other professional development/scholarly activities (e.g.,</w:t>
                      </w:r>
                      <w:r w:rsidR="00831EB8">
                        <w:rPr>
                          <w:rFonts w:asciiTheme="minorHAnsi" w:hAnsiTheme="minorHAnsi" w:cstheme="minorHAnsi"/>
                          <w:color w:val="000000"/>
                        </w:rPr>
                        <w:t xml:space="preserve"> </w:t>
                      </w:r>
                      <w:r w:rsidRPr="005F153F">
                        <w:rPr>
                          <w:rFonts w:asciiTheme="minorHAnsi" w:hAnsiTheme="minorHAnsi" w:cstheme="minorHAnsi"/>
                          <w:color w:val="000000"/>
                        </w:rPr>
                        <w:t>papers)</w:t>
                      </w:r>
                    </w:p>
                    <w:p w14:paraId="35697B03" w14:textId="77777777" w:rsidR="0037117F" w:rsidRPr="005F153F" w:rsidRDefault="0037117F" w:rsidP="0037117F">
                      <w:pPr>
                        <w:pStyle w:val="NormalWeb"/>
                        <w:spacing w:before="0" w:beforeAutospacing="0" w:after="0" w:afterAutospacing="0"/>
                        <w:rPr>
                          <w:rFonts w:asciiTheme="minorHAnsi" w:hAnsiTheme="minorHAnsi" w:cstheme="minorHAnsi"/>
                          <w:b/>
                          <w:bCs/>
                          <w:color w:val="000000"/>
                          <w:u w:val="single"/>
                        </w:rPr>
                      </w:pPr>
                    </w:p>
                    <w:p w14:paraId="2AA0E18E" w14:textId="77777777" w:rsidR="0037117F" w:rsidRPr="005F153F" w:rsidRDefault="0037117F" w:rsidP="0037117F">
                      <w:pPr>
                        <w:pStyle w:val="NormalWeb"/>
                        <w:spacing w:before="0" w:beforeAutospacing="0" w:after="0" w:afterAutospacing="0"/>
                        <w:rPr>
                          <w:rFonts w:asciiTheme="minorHAnsi" w:hAnsiTheme="minorHAnsi" w:cstheme="minorHAnsi"/>
                        </w:rPr>
                      </w:pPr>
                      <w:r w:rsidRPr="005F153F">
                        <w:rPr>
                          <w:rFonts w:asciiTheme="minorHAnsi" w:hAnsiTheme="minorHAnsi" w:cstheme="minorHAnsi"/>
                          <w:b/>
                          <w:bCs/>
                          <w:color w:val="000000"/>
                          <w:u w:val="single"/>
                        </w:rPr>
                        <w:t>Academics</w:t>
                      </w:r>
                    </w:p>
                    <w:p w14:paraId="78F9D8A7" w14:textId="77777777" w:rsidR="0037117F" w:rsidRPr="005F153F" w:rsidRDefault="0037117F" w:rsidP="0037117F">
                      <w:pPr>
                        <w:pStyle w:val="ListParagraph"/>
                        <w:numPr>
                          <w:ilvl w:val="1"/>
                          <w:numId w:val="11"/>
                        </w:numPr>
                        <w:overflowPunct/>
                        <w:autoSpaceDE/>
                        <w:autoSpaceDN/>
                        <w:adjustRightInd/>
                        <w:textAlignment w:val="auto"/>
                        <w:rPr>
                          <w:rFonts w:asciiTheme="minorHAnsi" w:hAnsiTheme="minorHAnsi" w:cstheme="minorHAnsi"/>
                        </w:rPr>
                      </w:pPr>
                      <w:r w:rsidRPr="005F153F">
                        <w:rPr>
                          <w:rFonts w:asciiTheme="minorHAnsi" w:hAnsiTheme="minorHAnsi" w:cstheme="minorHAnsi"/>
                          <w:color w:val="000000"/>
                        </w:rPr>
                        <w:t>Didactic teaching</w:t>
                      </w:r>
                      <w:r w:rsidR="006A0BA3" w:rsidRPr="005F153F">
                        <w:rPr>
                          <w:rFonts w:asciiTheme="minorHAnsi" w:hAnsiTheme="minorHAnsi" w:cstheme="minorHAnsi"/>
                          <w:color w:val="000000"/>
                        </w:rPr>
                        <w:t xml:space="preserve"> </w:t>
                      </w:r>
                      <w:r w:rsidR="002A77F0" w:rsidRPr="005F153F">
                        <w:rPr>
                          <w:rFonts w:asciiTheme="minorHAnsi" w:hAnsiTheme="minorHAnsi" w:cstheme="minorHAnsi"/>
                          <w:color w:val="000000"/>
                        </w:rPr>
                        <w:t>of GME trainees and preparation for meetings or classroom sessions related to didactic teaching</w:t>
                      </w:r>
                    </w:p>
                    <w:p w14:paraId="23F9773B" w14:textId="77777777" w:rsidR="006A0BA3" w:rsidRPr="005F153F" w:rsidRDefault="006A0BA3" w:rsidP="0037117F">
                      <w:pPr>
                        <w:pStyle w:val="ListParagraph"/>
                        <w:numPr>
                          <w:ilvl w:val="1"/>
                          <w:numId w:val="11"/>
                        </w:numPr>
                        <w:overflowPunct/>
                        <w:autoSpaceDE/>
                        <w:autoSpaceDN/>
                        <w:adjustRightInd/>
                        <w:textAlignment w:val="auto"/>
                        <w:rPr>
                          <w:rFonts w:asciiTheme="minorHAnsi" w:hAnsiTheme="minorHAnsi" w:cstheme="minorHAnsi"/>
                        </w:rPr>
                      </w:pPr>
                      <w:r w:rsidRPr="005F153F">
                        <w:rPr>
                          <w:rFonts w:asciiTheme="minorHAnsi" w:hAnsiTheme="minorHAnsi" w:cstheme="minorHAnsi"/>
                        </w:rPr>
                        <w:t>Extra-departmental teaching or course directorships</w:t>
                      </w:r>
                    </w:p>
                    <w:p w14:paraId="345FCFF3" w14:textId="77777777" w:rsidR="006A0BA3" w:rsidRPr="005F153F" w:rsidRDefault="006A0BA3" w:rsidP="0037117F">
                      <w:pPr>
                        <w:pStyle w:val="ListParagraph"/>
                        <w:numPr>
                          <w:ilvl w:val="1"/>
                          <w:numId w:val="11"/>
                        </w:numPr>
                        <w:overflowPunct/>
                        <w:autoSpaceDE/>
                        <w:autoSpaceDN/>
                        <w:adjustRightInd/>
                        <w:textAlignment w:val="auto"/>
                        <w:rPr>
                          <w:rFonts w:asciiTheme="minorHAnsi" w:hAnsiTheme="minorHAnsi" w:cstheme="minorHAnsi"/>
                        </w:rPr>
                      </w:pPr>
                      <w:r w:rsidRPr="005F153F">
                        <w:rPr>
                          <w:rFonts w:asciiTheme="minorHAnsi" w:hAnsiTheme="minorHAnsi" w:cstheme="minorHAnsi"/>
                        </w:rPr>
                        <w:t>Peer review of journal articles</w:t>
                      </w:r>
                      <w:r w:rsidR="002A77F0" w:rsidRPr="005F153F">
                        <w:rPr>
                          <w:rFonts w:asciiTheme="minorHAnsi" w:hAnsiTheme="minorHAnsi" w:cstheme="minorHAnsi"/>
                        </w:rPr>
                        <w:t>, editing of book chapters and journal articles</w:t>
                      </w:r>
                    </w:p>
                    <w:p w14:paraId="5AB97BFC" w14:textId="77777777" w:rsidR="0037117F" w:rsidRPr="005F153F" w:rsidRDefault="0037117F" w:rsidP="0037117F">
                      <w:pPr>
                        <w:pStyle w:val="ListParagraph"/>
                        <w:numPr>
                          <w:ilvl w:val="1"/>
                          <w:numId w:val="11"/>
                        </w:numPr>
                        <w:overflowPunct/>
                        <w:autoSpaceDE/>
                        <w:autoSpaceDN/>
                        <w:adjustRightInd/>
                        <w:textAlignment w:val="auto"/>
                        <w:rPr>
                          <w:rFonts w:asciiTheme="minorHAnsi" w:hAnsiTheme="minorHAnsi" w:cstheme="minorHAnsi"/>
                        </w:rPr>
                      </w:pPr>
                      <w:r w:rsidRPr="005F153F">
                        <w:rPr>
                          <w:rFonts w:asciiTheme="minorHAnsi" w:hAnsiTheme="minorHAnsi" w:cstheme="minorHAnsi"/>
                          <w:color w:val="000000"/>
                        </w:rPr>
                        <w:t>Lectures</w:t>
                      </w:r>
                      <w:r w:rsidR="002A77F0" w:rsidRPr="005F153F">
                        <w:rPr>
                          <w:rFonts w:asciiTheme="minorHAnsi" w:hAnsiTheme="minorHAnsi" w:cstheme="minorHAnsi"/>
                          <w:color w:val="000000"/>
                        </w:rPr>
                        <w:t>,</w:t>
                      </w:r>
                      <w:r w:rsidRPr="005F153F">
                        <w:rPr>
                          <w:rFonts w:asciiTheme="minorHAnsi" w:hAnsiTheme="minorHAnsi" w:cstheme="minorHAnsi"/>
                          <w:color w:val="000000"/>
                        </w:rPr>
                        <w:t xml:space="preserve"> Grand Rounds</w:t>
                      </w:r>
                      <w:r w:rsidR="002A77F0" w:rsidRPr="005F153F">
                        <w:rPr>
                          <w:rFonts w:asciiTheme="minorHAnsi" w:hAnsiTheme="minorHAnsi" w:cstheme="minorHAnsi"/>
                          <w:color w:val="000000"/>
                        </w:rPr>
                        <w:t xml:space="preserve"> and other CME activities</w:t>
                      </w:r>
                    </w:p>
                    <w:p w14:paraId="18D6632B" w14:textId="77777777" w:rsidR="0037117F" w:rsidRPr="005F153F" w:rsidRDefault="0037117F" w:rsidP="0037117F">
                      <w:pPr>
                        <w:pStyle w:val="ListParagraph"/>
                        <w:numPr>
                          <w:ilvl w:val="1"/>
                          <w:numId w:val="11"/>
                        </w:numPr>
                        <w:overflowPunct/>
                        <w:autoSpaceDE/>
                        <w:autoSpaceDN/>
                        <w:adjustRightInd/>
                        <w:textAlignment w:val="auto"/>
                        <w:rPr>
                          <w:rFonts w:asciiTheme="minorHAnsi" w:hAnsiTheme="minorHAnsi" w:cstheme="minorHAnsi"/>
                        </w:rPr>
                      </w:pPr>
                      <w:r w:rsidRPr="005F153F">
                        <w:rPr>
                          <w:rFonts w:asciiTheme="minorHAnsi" w:hAnsiTheme="minorHAnsi" w:cstheme="minorHAnsi"/>
                          <w:color w:val="000000"/>
                        </w:rPr>
                        <w:t>Student mentoring</w:t>
                      </w:r>
                    </w:p>
                    <w:p w14:paraId="73A71C52" w14:textId="77777777" w:rsidR="0037117F" w:rsidRPr="005F153F" w:rsidRDefault="0037117F" w:rsidP="0037117F">
                      <w:pPr>
                        <w:pStyle w:val="NormalWeb"/>
                        <w:spacing w:before="0" w:beforeAutospacing="0" w:after="0" w:afterAutospacing="0"/>
                        <w:rPr>
                          <w:rFonts w:asciiTheme="minorHAnsi" w:hAnsiTheme="minorHAnsi" w:cstheme="minorHAnsi"/>
                          <w:b/>
                          <w:bCs/>
                          <w:color w:val="000000"/>
                          <w:u w:val="single"/>
                        </w:rPr>
                      </w:pPr>
                    </w:p>
                    <w:p w14:paraId="6CF65C5D" w14:textId="77777777" w:rsidR="0037117F" w:rsidRPr="005F153F" w:rsidRDefault="0037117F" w:rsidP="0037117F">
                      <w:pPr>
                        <w:pStyle w:val="NormalWeb"/>
                        <w:spacing w:before="0" w:beforeAutospacing="0" w:after="0" w:afterAutospacing="0"/>
                        <w:rPr>
                          <w:rFonts w:asciiTheme="minorHAnsi" w:hAnsiTheme="minorHAnsi" w:cstheme="minorHAnsi"/>
                        </w:rPr>
                      </w:pPr>
                      <w:r w:rsidRPr="005F153F">
                        <w:rPr>
                          <w:rFonts w:asciiTheme="minorHAnsi" w:hAnsiTheme="minorHAnsi" w:cstheme="minorHAnsi"/>
                          <w:b/>
                          <w:bCs/>
                          <w:color w:val="000000"/>
                          <w:u w:val="single"/>
                        </w:rPr>
                        <w:t>Contract/other</w:t>
                      </w:r>
                    </w:p>
                    <w:p w14:paraId="42424F40" w14:textId="77777777" w:rsidR="0037117F" w:rsidRPr="005F153F" w:rsidRDefault="0037117F" w:rsidP="0037117F">
                      <w:pPr>
                        <w:pStyle w:val="ListParagraph"/>
                        <w:numPr>
                          <w:ilvl w:val="1"/>
                          <w:numId w:val="12"/>
                        </w:numPr>
                        <w:overflowPunct/>
                        <w:autoSpaceDE/>
                        <w:autoSpaceDN/>
                        <w:adjustRightInd/>
                        <w:textAlignment w:val="auto"/>
                        <w:rPr>
                          <w:rFonts w:asciiTheme="minorHAnsi" w:hAnsiTheme="minorHAnsi" w:cstheme="minorHAnsi"/>
                        </w:rPr>
                      </w:pPr>
                      <w:r w:rsidRPr="005F153F">
                        <w:rPr>
                          <w:rFonts w:asciiTheme="minorHAnsi" w:hAnsiTheme="minorHAnsi" w:cstheme="minorHAnsi"/>
                          <w:color w:val="000000"/>
                        </w:rPr>
                        <w:t>External health systems contract with UR for professional services.  Although this faculty effort might relate to clinical effort, if UR does not bill and collect for these professional services (e.g., faculty time purchased at an hourly rate), and individual faculty are not credited with collections and WRVUs, then this effort should be tracked separately.</w:t>
                      </w:r>
                    </w:p>
                  </w:txbxContent>
                </v:textbox>
                <w10:wrap anchorx="margin"/>
              </v:shape>
            </w:pict>
          </mc:Fallback>
        </mc:AlternateContent>
      </w:r>
    </w:p>
    <w:p w14:paraId="473D8760" w14:textId="77777777" w:rsidR="0037117F" w:rsidRDefault="0037117F"/>
    <w:p w14:paraId="1E7F5128" w14:textId="77777777" w:rsidR="0037117F" w:rsidRDefault="0037117F"/>
    <w:p w14:paraId="155938DC" w14:textId="77777777" w:rsidR="0037117F" w:rsidRDefault="0037117F"/>
    <w:p w14:paraId="1AE714C9" w14:textId="77777777" w:rsidR="0037117F" w:rsidRDefault="0037117F"/>
    <w:p w14:paraId="2E1513B9" w14:textId="77777777" w:rsidR="0037117F" w:rsidRDefault="0037117F"/>
    <w:sectPr w:rsidR="0037117F" w:rsidSect="002839B3">
      <w:footerReference w:type="default" r:id="rId9"/>
      <w:pgSz w:w="12240" w:h="15840" w:code="1"/>
      <w:pgMar w:top="720" w:right="1152" w:bottom="720" w:left="1152"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62B19" w14:textId="77777777" w:rsidR="00426136" w:rsidRDefault="00426136" w:rsidP="0037117F">
      <w:pPr>
        <w:spacing w:after="0" w:line="240" w:lineRule="auto"/>
      </w:pPr>
      <w:r>
        <w:separator/>
      </w:r>
    </w:p>
  </w:endnote>
  <w:endnote w:type="continuationSeparator" w:id="0">
    <w:p w14:paraId="3A128FF8" w14:textId="77777777" w:rsidR="00426136" w:rsidRDefault="00426136" w:rsidP="00371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453655"/>
      <w:docPartObj>
        <w:docPartGallery w:val="Page Numbers (Bottom of Page)"/>
        <w:docPartUnique/>
      </w:docPartObj>
    </w:sdtPr>
    <w:sdtEndPr>
      <w:rPr>
        <w:color w:val="7F7F7F" w:themeColor="background1" w:themeShade="7F"/>
        <w:spacing w:val="60"/>
      </w:rPr>
    </w:sdtEndPr>
    <w:sdtContent>
      <w:p w14:paraId="63B13A7D" w14:textId="77777777" w:rsidR="0037117F" w:rsidRDefault="0037117F">
        <w:pPr>
          <w:pStyle w:val="Footer"/>
          <w:pBdr>
            <w:top w:val="single" w:sz="4" w:space="1" w:color="D9D9D9" w:themeColor="background1" w:themeShade="D9"/>
          </w:pBdr>
          <w:jc w:val="right"/>
        </w:pPr>
        <w:r>
          <w:fldChar w:fldCharType="begin"/>
        </w:r>
        <w:r>
          <w:instrText xml:space="preserve"> PAGE   \* MERGEFORMAT </w:instrText>
        </w:r>
        <w:r>
          <w:fldChar w:fldCharType="separate"/>
        </w:r>
        <w:r w:rsidR="00507AC9">
          <w:rPr>
            <w:noProof/>
          </w:rPr>
          <w:t>1</w:t>
        </w:r>
        <w:r>
          <w:rPr>
            <w:noProof/>
          </w:rPr>
          <w:fldChar w:fldCharType="end"/>
        </w:r>
        <w:r>
          <w:t xml:space="preserve"> | </w:t>
        </w:r>
        <w:r>
          <w:rPr>
            <w:color w:val="7F7F7F" w:themeColor="background1" w:themeShade="7F"/>
            <w:spacing w:val="60"/>
          </w:rPr>
          <w:t>Page</w:t>
        </w:r>
      </w:p>
    </w:sdtContent>
  </w:sdt>
  <w:p w14:paraId="211DBD94" w14:textId="77777777" w:rsidR="0037117F" w:rsidRDefault="00371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1610B" w14:textId="77777777" w:rsidR="00426136" w:rsidRDefault="00426136" w:rsidP="0037117F">
      <w:pPr>
        <w:spacing w:after="0" w:line="240" w:lineRule="auto"/>
      </w:pPr>
      <w:r>
        <w:separator/>
      </w:r>
    </w:p>
  </w:footnote>
  <w:footnote w:type="continuationSeparator" w:id="0">
    <w:p w14:paraId="60D838AB" w14:textId="77777777" w:rsidR="00426136" w:rsidRDefault="00426136" w:rsidP="00371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0B2F"/>
    <w:multiLevelType w:val="hybridMultilevel"/>
    <w:tmpl w:val="974A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01927"/>
    <w:multiLevelType w:val="hybridMultilevel"/>
    <w:tmpl w:val="34005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F8265D"/>
    <w:multiLevelType w:val="hybridMultilevel"/>
    <w:tmpl w:val="12EC3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A91B55"/>
    <w:multiLevelType w:val="hybridMultilevel"/>
    <w:tmpl w:val="982A1F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2CD4963"/>
    <w:multiLevelType w:val="hybridMultilevel"/>
    <w:tmpl w:val="173255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9568BA"/>
    <w:multiLevelType w:val="hybridMultilevel"/>
    <w:tmpl w:val="CE6EC890"/>
    <w:lvl w:ilvl="0" w:tplc="D5328460">
      <w:start w:val="1"/>
      <w:numFmt w:val="bullet"/>
      <w:lvlText w:val=""/>
      <w:lvlJc w:val="left"/>
      <w:pPr>
        <w:tabs>
          <w:tab w:val="num" w:pos="720"/>
        </w:tabs>
        <w:ind w:left="720" w:hanging="360"/>
      </w:pPr>
      <w:rPr>
        <w:rFonts w:ascii="Wingdings" w:hAnsi="Wingdings" w:hint="default"/>
      </w:rPr>
    </w:lvl>
    <w:lvl w:ilvl="1" w:tplc="BD32ADA4">
      <w:start w:val="1"/>
      <w:numFmt w:val="bullet"/>
      <w:lvlText w:val=""/>
      <w:lvlJc w:val="left"/>
      <w:pPr>
        <w:tabs>
          <w:tab w:val="num" w:pos="1440"/>
        </w:tabs>
        <w:ind w:left="1440" w:hanging="360"/>
      </w:pPr>
      <w:rPr>
        <w:rFonts w:ascii="Wingdings" w:hAnsi="Wingdings" w:hint="default"/>
      </w:rPr>
    </w:lvl>
    <w:lvl w:ilvl="2" w:tplc="D944BFC0" w:tentative="1">
      <w:start w:val="1"/>
      <w:numFmt w:val="bullet"/>
      <w:lvlText w:val=""/>
      <w:lvlJc w:val="left"/>
      <w:pPr>
        <w:tabs>
          <w:tab w:val="num" w:pos="2160"/>
        </w:tabs>
        <w:ind w:left="2160" w:hanging="360"/>
      </w:pPr>
      <w:rPr>
        <w:rFonts w:ascii="Wingdings" w:hAnsi="Wingdings" w:hint="default"/>
      </w:rPr>
    </w:lvl>
    <w:lvl w:ilvl="3" w:tplc="DAC44346" w:tentative="1">
      <w:start w:val="1"/>
      <w:numFmt w:val="bullet"/>
      <w:lvlText w:val=""/>
      <w:lvlJc w:val="left"/>
      <w:pPr>
        <w:tabs>
          <w:tab w:val="num" w:pos="2880"/>
        </w:tabs>
        <w:ind w:left="2880" w:hanging="360"/>
      </w:pPr>
      <w:rPr>
        <w:rFonts w:ascii="Wingdings" w:hAnsi="Wingdings" w:hint="default"/>
      </w:rPr>
    </w:lvl>
    <w:lvl w:ilvl="4" w:tplc="48DA4248" w:tentative="1">
      <w:start w:val="1"/>
      <w:numFmt w:val="bullet"/>
      <w:lvlText w:val=""/>
      <w:lvlJc w:val="left"/>
      <w:pPr>
        <w:tabs>
          <w:tab w:val="num" w:pos="3600"/>
        </w:tabs>
        <w:ind w:left="3600" w:hanging="360"/>
      </w:pPr>
      <w:rPr>
        <w:rFonts w:ascii="Wingdings" w:hAnsi="Wingdings" w:hint="default"/>
      </w:rPr>
    </w:lvl>
    <w:lvl w:ilvl="5" w:tplc="25B4BB64" w:tentative="1">
      <w:start w:val="1"/>
      <w:numFmt w:val="bullet"/>
      <w:lvlText w:val=""/>
      <w:lvlJc w:val="left"/>
      <w:pPr>
        <w:tabs>
          <w:tab w:val="num" w:pos="4320"/>
        </w:tabs>
        <w:ind w:left="4320" w:hanging="360"/>
      </w:pPr>
      <w:rPr>
        <w:rFonts w:ascii="Wingdings" w:hAnsi="Wingdings" w:hint="default"/>
      </w:rPr>
    </w:lvl>
    <w:lvl w:ilvl="6" w:tplc="6DF85280" w:tentative="1">
      <w:start w:val="1"/>
      <w:numFmt w:val="bullet"/>
      <w:lvlText w:val=""/>
      <w:lvlJc w:val="left"/>
      <w:pPr>
        <w:tabs>
          <w:tab w:val="num" w:pos="5040"/>
        </w:tabs>
        <w:ind w:left="5040" w:hanging="360"/>
      </w:pPr>
      <w:rPr>
        <w:rFonts w:ascii="Wingdings" w:hAnsi="Wingdings" w:hint="default"/>
      </w:rPr>
    </w:lvl>
    <w:lvl w:ilvl="7" w:tplc="7D72E370" w:tentative="1">
      <w:start w:val="1"/>
      <w:numFmt w:val="bullet"/>
      <w:lvlText w:val=""/>
      <w:lvlJc w:val="left"/>
      <w:pPr>
        <w:tabs>
          <w:tab w:val="num" w:pos="5760"/>
        </w:tabs>
        <w:ind w:left="5760" w:hanging="360"/>
      </w:pPr>
      <w:rPr>
        <w:rFonts w:ascii="Wingdings" w:hAnsi="Wingdings" w:hint="default"/>
      </w:rPr>
    </w:lvl>
    <w:lvl w:ilvl="8" w:tplc="EDA8C60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BB7C58"/>
    <w:multiLevelType w:val="hybridMultilevel"/>
    <w:tmpl w:val="3CACE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230251"/>
    <w:multiLevelType w:val="hybridMultilevel"/>
    <w:tmpl w:val="0BD43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CD5EB3"/>
    <w:multiLevelType w:val="hybridMultilevel"/>
    <w:tmpl w:val="90E62FB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9566FF"/>
    <w:multiLevelType w:val="hybridMultilevel"/>
    <w:tmpl w:val="AFB432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2BA0DD9"/>
    <w:multiLevelType w:val="hybridMultilevel"/>
    <w:tmpl w:val="F866E76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0153F0"/>
    <w:multiLevelType w:val="hybridMultilevel"/>
    <w:tmpl w:val="77DA79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E4741B"/>
    <w:multiLevelType w:val="hybridMultilevel"/>
    <w:tmpl w:val="E53E1F7A"/>
    <w:lvl w:ilvl="0" w:tplc="D37E30E8">
      <w:start w:val="1"/>
      <w:numFmt w:val="bullet"/>
      <w:lvlText w:val=""/>
      <w:lvlJc w:val="left"/>
      <w:pPr>
        <w:tabs>
          <w:tab w:val="num" w:pos="720"/>
        </w:tabs>
        <w:ind w:left="720" w:hanging="360"/>
      </w:pPr>
      <w:rPr>
        <w:rFonts w:ascii="Wingdings" w:hAnsi="Wingdings" w:hint="default"/>
      </w:rPr>
    </w:lvl>
    <w:lvl w:ilvl="1" w:tplc="A9524084">
      <w:start w:val="1"/>
      <w:numFmt w:val="bullet"/>
      <w:lvlText w:val=""/>
      <w:lvlJc w:val="left"/>
      <w:pPr>
        <w:tabs>
          <w:tab w:val="num" w:pos="1440"/>
        </w:tabs>
        <w:ind w:left="1440" w:hanging="360"/>
      </w:pPr>
      <w:rPr>
        <w:rFonts w:ascii="Wingdings" w:hAnsi="Wingdings" w:hint="default"/>
      </w:rPr>
    </w:lvl>
    <w:lvl w:ilvl="2" w:tplc="727A4EE0" w:tentative="1">
      <w:start w:val="1"/>
      <w:numFmt w:val="bullet"/>
      <w:lvlText w:val=""/>
      <w:lvlJc w:val="left"/>
      <w:pPr>
        <w:tabs>
          <w:tab w:val="num" w:pos="2160"/>
        </w:tabs>
        <w:ind w:left="2160" w:hanging="360"/>
      </w:pPr>
      <w:rPr>
        <w:rFonts w:ascii="Wingdings" w:hAnsi="Wingdings" w:hint="default"/>
      </w:rPr>
    </w:lvl>
    <w:lvl w:ilvl="3" w:tplc="3A982C7E" w:tentative="1">
      <w:start w:val="1"/>
      <w:numFmt w:val="bullet"/>
      <w:lvlText w:val=""/>
      <w:lvlJc w:val="left"/>
      <w:pPr>
        <w:tabs>
          <w:tab w:val="num" w:pos="2880"/>
        </w:tabs>
        <w:ind w:left="2880" w:hanging="360"/>
      </w:pPr>
      <w:rPr>
        <w:rFonts w:ascii="Wingdings" w:hAnsi="Wingdings" w:hint="default"/>
      </w:rPr>
    </w:lvl>
    <w:lvl w:ilvl="4" w:tplc="3440F5DA" w:tentative="1">
      <w:start w:val="1"/>
      <w:numFmt w:val="bullet"/>
      <w:lvlText w:val=""/>
      <w:lvlJc w:val="left"/>
      <w:pPr>
        <w:tabs>
          <w:tab w:val="num" w:pos="3600"/>
        </w:tabs>
        <w:ind w:left="3600" w:hanging="360"/>
      </w:pPr>
      <w:rPr>
        <w:rFonts w:ascii="Wingdings" w:hAnsi="Wingdings" w:hint="default"/>
      </w:rPr>
    </w:lvl>
    <w:lvl w:ilvl="5" w:tplc="58FE8E36" w:tentative="1">
      <w:start w:val="1"/>
      <w:numFmt w:val="bullet"/>
      <w:lvlText w:val=""/>
      <w:lvlJc w:val="left"/>
      <w:pPr>
        <w:tabs>
          <w:tab w:val="num" w:pos="4320"/>
        </w:tabs>
        <w:ind w:left="4320" w:hanging="360"/>
      </w:pPr>
      <w:rPr>
        <w:rFonts w:ascii="Wingdings" w:hAnsi="Wingdings" w:hint="default"/>
      </w:rPr>
    </w:lvl>
    <w:lvl w:ilvl="6" w:tplc="5858C144" w:tentative="1">
      <w:start w:val="1"/>
      <w:numFmt w:val="bullet"/>
      <w:lvlText w:val=""/>
      <w:lvlJc w:val="left"/>
      <w:pPr>
        <w:tabs>
          <w:tab w:val="num" w:pos="5040"/>
        </w:tabs>
        <w:ind w:left="5040" w:hanging="360"/>
      </w:pPr>
      <w:rPr>
        <w:rFonts w:ascii="Wingdings" w:hAnsi="Wingdings" w:hint="default"/>
      </w:rPr>
    </w:lvl>
    <w:lvl w:ilvl="7" w:tplc="FE68A30C" w:tentative="1">
      <w:start w:val="1"/>
      <w:numFmt w:val="bullet"/>
      <w:lvlText w:val=""/>
      <w:lvlJc w:val="left"/>
      <w:pPr>
        <w:tabs>
          <w:tab w:val="num" w:pos="5760"/>
        </w:tabs>
        <w:ind w:left="5760" w:hanging="360"/>
      </w:pPr>
      <w:rPr>
        <w:rFonts w:ascii="Wingdings" w:hAnsi="Wingdings" w:hint="default"/>
      </w:rPr>
    </w:lvl>
    <w:lvl w:ilvl="8" w:tplc="80A24CF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DF392C"/>
    <w:multiLevelType w:val="hybridMultilevel"/>
    <w:tmpl w:val="F2C63382"/>
    <w:lvl w:ilvl="0" w:tplc="58146450">
      <w:start w:val="1"/>
      <w:numFmt w:val="bullet"/>
      <w:lvlText w:val=""/>
      <w:lvlJc w:val="left"/>
      <w:pPr>
        <w:tabs>
          <w:tab w:val="num" w:pos="720"/>
        </w:tabs>
        <w:ind w:left="720" w:hanging="360"/>
      </w:pPr>
      <w:rPr>
        <w:rFonts w:ascii="Wingdings" w:hAnsi="Wingdings" w:hint="default"/>
      </w:rPr>
    </w:lvl>
    <w:lvl w:ilvl="1" w:tplc="A84AA6E2">
      <w:start w:val="1"/>
      <w:numFmt w:val="bullet"/>
      <w:lvlText w:val=""/>
      <w:lvlJc w:val="left"/>
      <w:pPr>
        <w:tabs>
          <w:tab w:val="num" w:pos="1440"/>
        </w:tabs>
        <w:ind w:left="1440" w:hanging="360"/>
      </w:pPr>
      <w:rPr>
        <w:rFonts w:ascii="Wingdings" w:hAnsi="Wingdings" w:hint="default"/>
      </w:rPr>
    </w:lvl>
    <w:lvl w:ilvl="2" w:tplc="9F98333A" w:tentative="1">
      <w:start w:val="1"/>
      <w:numFmt w:val="bullet"/>
      <w:lvlText w:val=""/>
      <w:lvlJc w:val="left"/>
      <w:pPr>
        <w:tabs>
          <w:tab w:val="num" w:pos="2160"/>
        </w:tabs>
        <w:ind w:left="2160" w:hanging="360"/>
      </w:pPr>
      <w:rPr>
        <w:rFonts w:ascii="Wingdings" w:hAnsi="Wingdings" w:hint="default"/>
      </w:rPr>
    </w:lvl>
    <w:lvl w:ilvl="3" w:tplc="C6E84C4E" w:tentative="1">
      <w:start w:val="1"/>
      <w:numFmt w:val="bullet"/>
      <w:lvlText w:val=""/>
      <w:lvlJc w:val="left"/>
      <w:pPr>
        <w:tabs>
          <w:tab w:val="num" w:pos="2880"/>
        </w:tabs>
        <w:ind w:left="2880" w:hanging="360"/>
      </w:pPr>
      <w:rPr>
        <w:rFonts w:ascii="Wingdings" w:hAnsi="Wingdings" w:hint="default"/>
      </w:rPr>
    </w:lvl>
    <w:lvl w:ilvl="4" w:tplc="E31C458A" w:tentative="1">
      <w:start w:val="1"/>
      <w:numFmt w:val="bullet"/>
      <w:lvlText w:val=""/>
      <w:lvlJc w:val="left"/>
      <w:pPr>
        <w:tabs>
          <w:tab w:val="num" w:pos="3600"/>
        </w:tabs>
        <w:ind w:left="3600" w:hanging="360"/>
      </w:pPr>
      <w:rPr>
        <w:rFonts w:ascii="Wingdings" w:hAnsi="Wingdings" w:hint="default"/>
      </w:rPr>
    </w:lvl>
    <w:lvl w:ilvl="5" w:tplc="0FCC7D5A" w:tentative="1">
      <w:start w:val="1"/>
      <w:numFmt w:val="bullet"/>
      <w:lvlText w:val=""/>
      <w:lvlJc w:val="left"/>
      <w:pPr>
        <w:tabs>
          <w:tab w:val="num" w:pos="4320"/>
        </w:tabs>
        <w:ind w:left="4320" w:hanging="360"/>
      </w:pPr>
      <w:rPr>
        <w:rFonts w:ascii="Wingdings" w:hAnsi="Wingdings" w:hint="default"/>
      </w:rPr>
    </w:lvl>
    <w:lvl w:ilvl="6" w:tplc="54A23558" w:tentative="1">
      <w:start w:val="1"/>
      <w:numFmt w:val="bullet"/>
      <w:lvlText w:val=""/>
      <w:lvlJc w:val="left"/>
      <w:pPr>
        <w:tabs>
          <w:tab w:val="num" w:pos="5040"/>
        </w:tabs>
        <w:ind w:left="5040" w:hanging="360"/>
      </w:pPr>
      <w:rPr>
        <w:rFonts w:ascii="Wingdings" w:hAnsi="Wingdings" w:hint="default"/>
      </w:rPr>
    </w:lvl>
    <w:lvl w:ilvl="7" w:tplc="D2AA6B98" w:tentative="1">
      <w:start w:val="1"/>
      <w:numFmt w:val="bullet"/>
      <w:lvlText w:val=""/>
      <w:lvlJc w:val="left"/>
      <w:pPr>
        <w:tabs>
          <w:tab w:val="num" w:pos="5760"/>
        </w:tabs>
        <w:ind w:left="5760" w:hanging="360"/>
      </w:pPr>
      <w:rPr>
        <w:rFonts w:ascii="Wingdings" w:hAnsi="Wingdings" w:hint="default"/>
      </w:rPr>
    </w:lvl>
    <w:lvl w:ilvl="8" w:tplc="02B676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26461E"/>
    <w:multiLevelType w:val="hybridMultilevel"/>
    <w:tmpl w:val="545E0190"/>
    <w:lvl w:ilvl="0" w:tplc="748ED32C">
      <w:start w:val="1"/>
      <w:numFmt w:val="bullet"/>
      <w:lvlText w:val=""/>
      <w:lvlJc w:val="left"/>
      <w:pPr>
        <w:tabs>
          <w:tab w:val="num" w:pos="720"/>
        </w:tabs>
        <w:ind w:left="720" w:hanging="360"/>
      </w:pPr>
      <w:rPr>
        <w:rFonts w:ascii="Wingdings" w:hAnsi="Wingdings" w:hint="default"/>
      </w:rPr>
    </w:lvl>
    <w:lvl w:ilvl="1" w:tplc="B9E2C836">
      <w:start w:val="1"/>
      <w:numFmt w:val="bullet"/>
      <w:lvlText w:val=""/>
      <w:lvlJc w:val="left"/>
      <w:pPr>
        <w:tabs>
          <w:tab w:val="num" w:pos="1440"/>
        </w:tabs>
        <w:ind w:left="1440" w:hanging="360"/>
      </w:pPr>
      <w:rPr>
        <w:rFonts w:ascii="Wingdings" w:hAnsi="Wingdings" w:hint="default"/>
      </w:rPr>
    </w:lvl>
    <w:lvl w:ilvl="2" w:tplc="4D3EDA84" w:tentative="1">
      <w:start w:val="1"/>
      <w:numFmt w:val="bullet"/>
      <w:lvlText w:val=""/>
      <w:lvlJc w:val="left"/>
      <w:pPr>
        <w:tabs>
          <w:tab w:val="num" w:pos="2160"/>
        </w:tabs>
        <w:ind w:left="2160" w:hanging="360"/>
      </w:pPr>
      <w:rPr>
        <w:rFonts w:ascii="Wingdings" w:hAnsi="Wingdings" w:hint="default"/>
      </w:rPr>
    </w:lvl>
    <w:lvl w:ilvl="3" w:tplc="9834A0A2" w:tentative="1">
      <w:start w:val="1"/>
      <w:numFmt w:val="bullet"/>
      <w:lvlText w:val=""/>
      <w:lvlJc w:val="left"/>
      <w:pPr>
        <w:tabs>
          <w:tab w:val="num" w:pos="2880"/>
        </w:tabs>
        <w:ind w:left="2880" w:hanging="360"/>
      </w:pPr>
      <w:rPr>
        <w:rFonts w:ascii="Wingdings" w:hAnsi="Wingdings" w:hint="default"/>
      </w:rPr>
    </w:lvl>
    <w:lvl w:ilvl="4" w:tplc="EC96CDD4" w:tentative="1">
      <w:start w:val="1"/>
      <w:numFmt w:val="bullet"/>
      <w:lvlText w:val=""/>
      <w:lvlJc w:val="left"/>
      <w:pPr>
        <w:tabs>
          <w:tab w:val="num" w:pos="3600"/>
        </w:tabs>
        <w:ind w:left="3600" w:hanging="360"/>
      </w:pPr>
      <w:rPr>
        <w:rFonts w:ascii="Wingdings" w:hAnsi="Wingdings" w:hint="default"/>
      </w:rPr>
    </w:lvl>
    <w:lvl w:ilvl="5" w:tplc="E5AA5962" w:tentative="1">
      <w:start w:val="1"/>
      <w:numFmt w:val="bullet"/>
      <w:lvlText w:val=""/>
      <w:lvlJc w:val="left"/>
      <w:pPr>
        <w:tabs>
          <w:tab w:val="num" w:pos="4320"/>
        </w:tabs>
        <w:ind w:left="4320" w:hanging="360"/>
      </w:pPr>
      <w:rPr>
        <w:rFonts w:ascii="Wingdings" w:hAnsi="Wingdings" w:hint="default"/>
      </w:rPr>
    </w:lvl>
    <w:lvl w:ilvl="6" w:tplc="8A266B66" w:tentative="1">
      <w:start w:val="1"/>
      <w:numFmt w:val="bullet"/>
      <w:lvlText w:val=""/>
      <w:lvlJc w:val="left"/>
      <w:pPr>
        <w:tabs>
          <w:tab w:val="num" w:pos="5040"/>
        </w:tabs>
        <w:ind w:left="5040" w:hanging="360"/>
      </w:pPr>
      <w:rPr>
        <w:rFonts w:ascii="Wingdings" w:hAnsi="Wingdings" w:hint="default"/>
      </w:rPr>
    </w:lvl>
    <w:lvl w:ilvl="7" w:tplc="BFD6EBA8" w:tentative="1">
      <w:start w:val="1"/>
      <w:numFmt w:val="bullet"/>
      <w:lvlText w:val=""/>
      <w:lvlJc w:val="left"/>
      <w:pPr>
        <w:tabs>
          <w:tab w:val="num" w:pos="5760"/>
        </w:tabs>
        <w:ind w:left="5760" w:hanging="360"/>
      </w:pPr>
      <w:rPr>
        <w:rFonts w:ascii="Wingdings" w:hAnsi="Wingdings" w:hint="default"/>
      </w:rPr>
    </w:lvl>
    <w:lvl w:ilvl="8" w:tplc="24BEE2C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37581E"/>
    <w:multiLevelType w:val="hybridMultilevel"/>
    <w:tmpl w:val="7CCC0F7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797D15C7"/>
    <w:multiLevelType w:val="hybridMultilevel"/>
    <w:tmpl w:val="310E3694"/>
    <w:lvl w:ilvl="0" w:tplc="5634730A">
      <w:start w:val="1"/>
      <w:numFmt w:val="bullet"/>
      <w:lvlText w:val=""/>
      <w:lvlJc w:val="left"/>
      <w:pPr>
        <w:tabs>
          <w:tab w:val="num" w:pos="720"/>
        </w:tabs>
        <w:ind w:left="720" w:hanging="360"/>
      </w:pPr>
      <w:rPr>
        <w:rFonts w:ascii="Wingdings" w:hAnsi="Wingdings" w:hint="default"/>
      </w:rPr>
    </w:lvl>
    <w:lvl w:ilvl="1" w:tplc="BBD66F6C">
      <w:start w:val="1"/>
      <w:numFmt w:val="bullet"/>
      <w:lvlText w:val=""/>
      <w:lvlJc w:val="left"/>
      <w:pPr>
        <w:tabs>
          <w:tab w:val="num" w:pos="1440"/>
        </w:tabs>
        <w:ind w:left="1440" w:hanging="360"/>
      </w:pPr>
      <w:rPr>
        <w:rFonts w:ascii="Wingdings" w:hAnsi="Wingdings" w:hint="default"/>
      </w:rPr>
    </w:lvl>
    <w:lvl w:ilvl="2" w:tplc="F004788C" w:tentative="1">
      <w:start w:val="1"/>
      <w:numFmt w:val="bullet"/>
      <w:lvlText w:val=""/>
      <w:lvlJc w:val="left"/>
      <w:pPr>
        <w:tabs>
          <w:tab w:val="num" w:pos="2160"/>
        </w:tabs>
        <w:ind w:left="2160" w:hanging="360"/>
      </w:pPr>
      <w:rPr>
        <w:rFonts w:ascii="Wingdings" w:hAnsi="Wingdings" w:hint="default"/>
      </w:rPr>
    </w:lvl>
    <w:lvl w:ilvl="3" w:tplc="00620C3A" w:tentative="1">
      <w:start w:val="1"/>
      <w:numFmt w:val="bullet"/>
      <w:lvlText w:val=""/>
      <w:lvlJc w:val="left"/>
      <w:pPr>
        <w:tabs>
          <w:tab w:val="num" w:pos="2880"/>
        </w:tabs>
        <w:ind w:left="2880" w:hanging="360"/>
      </w:pPr>
      <w:rPr>
        <w:rFonts w:ascii="Wingdings" w:hAnsi="Wingdings" w:hint="default"/>
      </w:rPr>
    </w:lvl>
    <w:lvl w:ilvl="4" w:tplc="929AA5FC" w:tentative="1">
      <w:start w:val="1"/>
      <w:numFmt w:val="bullet"/>
      <w:lvlText w:val=""/>
      <w:lvlJc w:val="left"/>
      <w:pPr>
        <w:tabs>
          <w:tab w:val="num" w:pos="3600"/>
        </w:tabs>
        <w:ind w:left="3600" w:hanging="360"/>
      </w:pPr>
      <w:rPr>
        <w:rFonts w:ascii="Wingdings" w:hAnsi="Wingdings" w:hint="default"/>
      </w:rPr>
    </w:lvl>
    <w:lvl w:ilvl="5" w:tplc="2E442B4C" w:tentative="1">
      <w:start w:val="1"/>
      <w:numFmt w:val="bullet"/>
      <w:lvlText w:val=""/>
      <w:lvlJc w:val="left"/>
      <w:pPr>
        <w:tabs>
          <w:tab w:val="num" w:pos="4320"/>
        </w:tabs>
        <w:ind w:left="4320" w:hanging="360"/>
      </w:pPr>
      <w:rPr>
        <w:rFonts w:ascii="Wingdings" w:hAnsi="Wingdings" w:hint="default"/>
      </w:rPr>
    </w:lvl>
    <w:lvl w:ilvl="6" w:tplc="7F787EDE" w:tentative="1">
      <w:start w:val="1"/>
      <w:numFmt w:val="bullet"/>
      <w:lvlText w:val=""/>
      <w:lvlJc w:val="left"/>
      <w:pPr>
        <w:tabs>
          <w:tab w:val="num" w:pos="5040"/>
        </w:tabs>
        <w:ind w:left="5040" w:hanging="360"/>
      </w:pPr>
      <w:rPr>
        <w:rFonts w:ascii="Wingdings" w:hAnsi="Wingdings" w:hint="default"/>
      </w:rPr>
    </w:lvl>
    <w:lvl w:ilvl="7" w:tplc="9CC6BD96" w:tentative="1">
      <w:start w:val="1"/>
      <w:numFmt w:val="bullet"/>
      <w:lvlText w:val=""/>
      <w:lvlJc w:val="left"/>
      <w:pPr>
        <w:tabs>
          <w:tab w:val="num" w:pos="5760"/>
        </w:tabs>
        <w:ind w:left="5760" w:hanging="360"/>
      </w:pPr>
      <w:rPr>
        <w:rFonts w:ascii="Wingdings" w:hAnsi="Wingdings" w:hint="default"/>
      </w:rPr>
    </w:lvl>
    <w:lvl w:ilvl="8" w:tplc="D9A40628" w:tentative="1">
      <w:start w:val="1"/>
      <w:numFmt w:val="bullet"/>
      <w:lvlText w:val=""/>
      <w:lvlJc w:val="left"/>
      <w:pPr>
        <w:tabs>
          <w:tab w:val="num" w:pos="6480"/>
        </w:tabs>
        <w:ind w:left="6480" w:hanging="360"/>
      </w:pPr>
      <w:rPr>
        <w:rFonts w:ascii="Wingdings" w:hAnsi="Wingdings" w:hint="default"/>
      </w:rPr>
    </w:lvl>
  </w:abstractNum>
  <w:num w:numId="1" w16cid:durableId="1998066779">
    <w:abstractNumId w:val="4"/>
  </w:num>
  <w:num w:numId="2" w16cid:durableId="590241024">
    <w:abstractNumId w:val="8"/>
  </w:num>
  <w:num w:numId="3" w16cid:durableId="1759213110">
    <w:abstractNumId w:val="10"/>
  </w:num>
  <w:num w:numId="4" w16cid:durableId="1499929481">
    <w:abstractNumId w:val="1"/>
  </w:num>
  <w:num w:numId="5" w16cid:durableId="1509099639">
    <w:abstractNumId w:val="11"/>
  </w:num>
  <w:num w:numId="6" w16cid:durableId="106000639">
    <w:abstractNumId w:val="7"/>
  </w:num>
  <w:num w:numId="7" w16cid:durableId="1345596643">
    <w:abstractNumId w:val="9"/>
  </w:num>
  <w:num w:numId="8" w16cid:durableId="1938446595">
    <w:abstractNumId w:val="16"/>
  </w:num>
  <w:num w:numId="9" w16cid:durableId="1844661991">
    <w:abstractNumId w:val="14"/>
  </w:num>
  <w:num w:numId="10" w16cid:durableId="1860001720">
    <w:abstractNumId w:val="12"/>
  </w:num>
  <w:num w:numId="11" w16cid:durableId="1603956781">
    <w:abstractNumId w:val="13"/>
  </w:num>
  <w:num w:numId="12" w16cid:durableId="1059942121">
    <w:abstractNumId w:val="5"/>
  </w:num>
  <w:num w:numId="13" w16cid:durableId="891189688">
    <w:abstractNumId w:val="0"/>
  </w:num>
  <w:num w:numId="14" w16cid:durableId="513107725">
    <w:abstractNumId w:val="3"/>
  </w:num>
  <w:num w:numId="15" w16cid:durableId="1018846245">
    <w:abstractNumId w:val="6"/>
  </w:num>
  <w:num w:numId="16" w16cid:durableId="1760758176">
    <w:abstractNumId w:val="2"/>
  </w:num>
  <w:num w:numId="17" w16cid:durableId="19498932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17F"/>
    <w:rsid w:val="00033297"/>
    <w:rsid w:val="000A049F"/>
    <w:rsid w:val="00186581"/>
    <w:rsid w:val="001D7C75"/>
    <w:rsid w:val="002839B3"/>
    <w:rsid w:val="002A77F0"/>
    <w:rsid w:val="002C0425"/>
    <w:rsid w:val="002D5C44"/>
    <w:rsid w:val="00313252"/>
    <w:rsid w:val="0034255C"/>
    <w:rsid w:val="00356286"/>
    <w:rsid w:val="0037117F"/>
    <w:rsid w:val="00372CD7"/>
    <w:rsid w:val="00392AA9"/>
    <w:rsid w:val="00426136"/>
    <w:rsid w:val="00435257"/>
    <w:rsid w:val="00441C8E"/>
    <w:rsid w:val="00507AC9"/>
    <w:rsid w:val="00524E9F"/>
    <w:rsid w:val="00535C5D"/>
    <w:rsid w:val="00537B53"/>
    <w:rsid w:val="005C197A"/>
    <w:rsid w:val="005D5E9C"/>
    <w:rsid w:val="005F153F"/>
    <w:rsid w:val="006763A6"/>
    <w:rsid w:val="006A0BA3"/>
    <w:rsid w:val="006A358A"/>
    <w:rsid w:val="006A71E6"/>
    <w:rsid w:val="006C7683"/>
    <w:rsid w:val="007568DE"/>
    <w:rsid w:val="00773137"/>
    <w:rsid w:val="007B1F19"/>
    <w:rsid w:val="007D332E"/>
    <w:rsid w:val="007D4685"/>
    <w:rsid w:val="007E1263"/>
    <w:rsid w:val="00831EB8"/>
    <w:rsid w:val="008559DE"/>
    <w:rsid w:val="008852EB"/>
    <w:rsid w:val="00AC7E1B"/>
    <w:rsid w:val="00AD1ABA"/>
    <w:rsid w:val="00B665A5"/>
    <w:rsid w:val="00B727F2"/>
    <w:rsid w:val="00BB7AB2"/>
    <w:rsid w:val="00BF6156"/>
    <w:rsid w:val="00C0743B"/>
    <w:rsid w:val="00C55335"/>
    <w:rsid w:val="00CE79C2"/>
    <w:rsid w:val="00CF0283"/>
    <w:rsid w:val="00CF2E2A"/>
    <w:rsid w:val="00CF664E"/>
    <w:rsid w:val="00DA4B47"/>
    <w:rsid w:val="00E057E8"/>
    <w:rsid w:val="00E86FC3"/>
    <w:rsid w:val="00F23836"/>
    <w:rsid w:val="00F67498"/>
    <w:rsid w:val="00F83177"/>
    <w:rsid w:val="00FA3CC2"/>
    <w:rsid w:val="00FD335F"/>
    <w:rsid w:val="00FD5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7EB9"/>
  <w15:chartTrackingRefBased/>
  <w15:docId w15:val="{BD2D96F8-20A3-4024-8C10-794C82DC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17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37117F"/>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371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17F"/>
  </w:style>
  <w:style w:type="paragraph" w:styleId="Footer">
    <w:name w:val="footer"/>
    <w:basedOn w:val="Normal"/>
    <w:link w:val="FooterChar"/>
    <w:uiPriority w:val="99"/>
    <w:unhideWhenUsed/>
    <w:rsid w:val="00371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17F"/>
  </w:style>
  <w:style w:type="paragraph" w:styleId="BalloonText">
    <w:name w:val="Balloon Text"/>
    <w:basedOn w:val="Normal"/>
    <w:link w:val="BalloonTextChar"/>
    <w:uiPriority w:val="99"/>
    <w:semiHidden/>
    <w:unhideWhenUsed/>
    <w:rsid w:val="00537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B53"/>
    <w:rPr>
      <w:rFonts w:ascii="Segoe UI" w:hAnsi="Segoe UI" w:cs="Segoe UI"/>
      <w:sz w:val="18"/>
      <w:szCs w:val="18"/>
    </w:rPr>
  </w:style>
  <w:style w:type="paragraph" w:styleId="Revision">
    <w:name w:val="Revision"/>
    <w:hidden/>
    <w:uiPriority w:val="99"/>
    <w:semiHidden/>
    <w:rsid w:val="00AD1A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11E3F-7296-422B-B199-9CA9BD5A4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Lisa (URMFG)</dc:creator>
  <cp:keywords/>
  <dc:description/>
  <cp:lastModifiedBy>Hetterich, Jill</cp:lastModifiedBy>
  <cp:revision>5</cp:revision>
  <dcterms:created xsi:type="dcterms:W3CDTF">2025-01-16T16:46:00Z</dcterms:created>
  <dcterms:modified xsi:type="dcterms:W3CDTF">2025-01-21T16:34:00Z</dcterms:modified>
</cp:coreProperties>
</file>